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BF" w:rsidRPr="00C730AC" w:rsidRDefault="00161CBF" w:rsidP="00161CBF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r>
        <w:rPr>
          <w:rFonts w:eastAsia="Verdana"/>
          <w:spacing w:val="-1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а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у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5</w:t>
      </w:r>
      <w:r w:rsidRPr="00C730AC">
        <w:rPr>
          <w:rFonts w:eastAsia="Verdana"/>
          <w:spacing w:val="3"/>
          <w:sz w:val="20"/>
          <w:szCs w:val="20"/>
          <w:lang w:val="en-US"/>
        </w:rPr>
        <w:t>5</w:t>
      </w:r>
      <w:r w:rsidRPr="00C730AC">
        <w:rPr>
          <w:rFonts w:eastAsia="Verdana"/>
          <w:sz w:val="20"/>
          <w:szCs w:val="20"/>
          <w:lang w:val="en-US"/>
        </w:rPr>
        <w:t>.</w:t>
      </w:r>
      <w:proofErr w:type="gramEnd"/>
      <w:r w:rsidRPr="00C730AC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1.</w:t>
      </w:r>
      <w:r w:rsidRPr="00C730A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z w:val="20"/>
          <w:szCs w:val="20"/>
          <w:lang w:val="en-US"/>
        </w:rPr>
        <w:t>та</w:t>
      </w:r>
      <w:r w:rsidRPr="00C730AC">
        <w:rPr>
          <w:rFonts w:eastAsia="Verdana"/>
          <w:spacing w:val="-1"/>
          <w:sz w:val="20"/>
          <w:szCs w:val="20"/>
          <w:lang w:val="en-US"/>
        </w:rPr>
        <w:t>ч</w:t>
      </w:r>
      <w:r w:rsidRPr="00C730AC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C730A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8)</w:t>
      </w:r>
      <w:r w:rsidRPr="00C730A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и</w:t>
      </w:r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116.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З</w:t>
      </w:r>
      <w:r w:rsidRPr="00C730AC">
        <w:rPr>
          <w:rFonts w:eastAsia="Verdana"/>
          <w:spacing w:val="2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en-US"/>
        </w:rPr>
        <w:t>к</w:t>
      </w:r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z w:val="20"/>
          <w:szCs w:val="20"/>
          <w:lang w:val="en-US"/>
        </w:rPr>
        <w:t>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о</w:t>
      </w:r>
      <w:r w:rsidRPr="00C730AC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ја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ним</w:t>
      </w:r>
      <w:proofErr w:type="spellEnd"/>
      <w:r w:rsidRPr="00C730AC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наба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кама</w:t>
      </w:r>
      <w:proofErr w:type="spellEnd"/>
      <w:r w:rsidRPr="00C730A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(„</w:t>
      </w:r>
      <w:proofErr w:type="spellStart"/>
      <w:r w:rsidRPr="00C730AC">
        <w:rPr>
          <w:rFonts w:eastAsia="Verdana"/>
          <w:sz w:val="20"/>
          <w:szCs w:val="20"/>
          <w:lang w:val="en-US"/>
        </w:rPr>
        <w:t>С</w:t>
      </w:r>
      <w:r w:rsidRPr="00C730AC">
        <w:rPr>
          <w:rFonts w:eastAsia="Verdana"/>
          <w:spacing w:val="1"/>
          <w:sz w:val="20"/>
          <w:szCs w:val="20"/>
          <w:lang w:val="en-US"/>
        </w:rPr>
        <w:t>лу</w:t>
      </w:r>
      <w:r w:rsidRPr="00C730AC">
        <w:rPr>
          <w:rFonts w:eastAsia="Verdana"/>
          <w:sz w:val="20"/>
          <w:szCs w:val="20"/>
          <w:lang w:val="en-US"/>
        </w:rPr>
        <w:t>жб</w:t>
      </w:r>
      <w:r w:rsidRPr="00C730AC">
        <w:rPr>
          <w:rFonts w:eastAsia="Verdana"/>
          <w:spacing w:val="-2"/>
          <w:sz w:val="20"/>
          <w:szCs w:val="20"/>
          <w:lang w:val="en-US"/>
        </w:rPr>
        <w:t>е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и</w:t>
      </w:r>
      <w:proofErr w:type="spellEnd"/>
      <w:r w:rsidRPr="00C730AC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г</w:t>
      </w:r>
      <w:r w:rsidRPr="00C730AC">
        <w:rPr>
          <w:rFonts w:eastAsia="Verdana"/>
          <w:spacing w:val="1"/>
          <w:sz w:val="20"/>
          <w:szCs w:val="20"/>
          <w:lang w:val="en-US"/>
        </w:rPr>
        <w:t>л</w:t>
      </w:r>
      <w:r w:rsidRPr="00C730AC">
        <w:rPr>
          <w:rFonts w:eastAsia="Verdana"/>
          <w:sz w:val="20"/>
          <w:szCs w:val="20"/>
          <w:lang w:val="en-US"/>
        </w:rPr>
        <w:t>асн</w:t>
      </w:r>
      <w:r w:rsidRPr="00C730AC">
        <w:rPr>
          <w:rFonts w:eastAsia="Verdana"/>
          <w:spacing w:val="1"/>
          <w:sz w:val="20"/>
          <w:szCs w:val="20"/>
          <w:lang w:val="en-US"/>
        </w:rPr>
        <w:t>и</w:t>
      </w:r>
      <w:r w:rsidRPr="00C730AC">
        <w:rPr>
          <w:rFonts w:eastAsia="Verdana"/>
          <w:sz w:val="20"/>
          <w:szCs w:val="20"/>
          <w:lang w:val="en-US"/>
        </w:rPr>
        <w:t>к</w:t>
      </w:r>
      <w:proofErr w:type="spellEnd"/>
      <w:r w:rsidRPr="00C730A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Р</w:t>
      </w:r>
      <w:r w:rsidRPr="00C730AC">
        <w:rPr>
          <w:rFonts w:eastAsia="Verdana"/>
          <w:spacing w:val="2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“,</w:t>
      </w:r>
      <w:r w:rsidRPr="00C730A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pacing w:val="2"/>
          <w:sz w:val="20"/>
          <w:szCs w:val="20"/>
          <w:lang w:val="en-US"/>
        </w:rPr>
        <w:t>р</w:t>
      </w:r>
      <w:r w:rsidRPr="00C730AC">
        <w:rPr>
          <w:rFonts w:eastAsia="Verdana"/>
          <w:sz w:val="20"/>
          <w:szCs w:val="20"/>
          <w:lang w:val="en-US"/>
        </w:rPr>
        <w:t>.124/12</w:t>
      </w:r>
      <w:r w:rsidRPr="00C730AC">
        <w:rPr>
          <w:rFonts w:eastAsia="Verdana"/>
          <w:sz w:val="20"/>
          <w:szCs w:val="20"/>
          <w:lang w:val="sr-Cyrl-RS"/>
        </w:rPr>
        <w:t xml:space="preserve">, </w:t>
      </w:r>
      <w:r w:rsidRPr="00C730AC">
        <w:rPr>
          <w:rFonts w:cs="Calibri,Bold"/>
          <w:bCs/>
          <w:sz w:val="20"/>
          <w:szCs w:val="20"/>
          <w:lang w:val="sr-Cyrl-RS"/>
        </w:rPr>
        <w:t>14/15 и 68/15</w:t>
      </w:r>
      <w:r w:rsidRPr="00C730AC">
        <w:rPr>
          <w:rFonts w:eastAsia="Verdana"/>
          <w:sz w:val="20"/>
          <w:szCs w:val="20"/>
          <w:lang w:val="sr-Cyrl-RS"/>
        </w:rPr>
        <w:t>)</w:t>
      </w:r>
    </w:p>
    <w:p w:rsidR="00161CBF" w:rsidRPr="00C730AC" w:rsidRDefault="00161CBF" w:rsidP="00161CBF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161CBF" w:rsidRPr="00C730AC" w:rsidRDefault="00161CBF" w:rsidP="00161CBF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Ч И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Л 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Ц</w:t>
      </w:r>
    </w:p>
    <w:p w:rsidR="00161CBF" w:rsidRPr="00C730AC" w:rsidRDefault="00161CBF" w:rsidP="00161CBF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C730AC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-</w:t>
      </w:r>
      <w:r w:rsidRPr="00C730AC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Покрајински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секретаријат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за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урбанизам</w:t>
      </w:r>
      <w:proofErr w:type="spellEnd"/>
      <w:r w:rsidRPr="00C730AC">
        <w:rPr>
          <w:b/>
          <w:sz w:val="20"/>
          <w:szCs w:val="20"/>
          <w:lang w:val="en-US"/>
        </w:rPr>
        <w:t xml:space="preserve"> и </w:t>
      </w:r>
      <w:proofErr w:type="spellStart"/>
      <w:r w:rsidRPr="00C730AC">
        <w:rPr>
          <w:b/>
          <w:sz w:val="20"/>
          <w:szCs w:val="20"/>
          <w:lang w:val="en-US"/>
        </w:rPr>
        <w:t>заштиту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животне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средине</w:t>
      </w:r>
      <w:proofErr w:type="spellEnd"/>
      <w:r w:rsidRPr="00C730AC">
        <w:rPr>
          <w:b/>
          <w:sz w:val="20"/>
          <w:szCs w:val="20"/>
          <w:lang w:val="sr-Cyrl-CS"/>
        </w:rPr>
        <w:t>,</w:t>
      </w:r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Нови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Сад</w:t>
      </w:r>
      <w:proofErr w:type="spellEnd"/>
    </w:p>
    <w:p w:rsidR="00161CBF" w:rsidRPr="00C730AC" w:rsidRDefault="00161CBF" w:rsidP="00161CBF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C730AC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C730A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C730A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C730A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C730A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C730A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161CBF" w:rsidRPr="00C730AC" w:rsidRDefault="00161CBF" w:rsidP="00161CBF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161CBF" w:rsidRPr="00C730AC" w:rsidRDefault="00161CBF" w:rsidP="00161CBF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1"/>
          <w:sz w:val="20"/>
          <w:szCs w:val="20"/>
          <w:lang w:val="en-US"/>
        </w:rPr>
        <w:t>ј</w:t>
      </w:r>
      <w:r w:rsidRPr="00C730AC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2"/>
          <w:sz w:val="20"/>
          <w:szCs w:val="20"/>
          <w:lang w:val="en-US"/>
        </w:rPr>
        <w:t>љ</w:t>
      </w:r>
      <w:r w:rsidRPr="00C730AC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у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ј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е</w:t>
      </w:r>
    </w:p>
    <w:p w:rsidR="00161CBF" w:rsidRPr="00C730AC" w:rsidRDefault="00161CBF" w:rsidP="00161CBF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161CBF" w:rsidRPr="00C730AC" w:rsidRDefault="00161CBF" w:rsidP="00161CBF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ОБ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C730AC">
        <w:rPr>
          <w:rFonts w:eastAsia="Verdana"/>
          <w:b/>
          <w:bCs/>
          <w:sz w:val="20"/>
          <w:szCs w:val="20"/>
          <w:lang w:val="en-US"/>
        </w:rPr>
        <w:t>ЕШТЕЊЕ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z w:val="20"/>
          <w:szCs w:val="20"/>
          <w:lang w:val="en-US"/>
        </w:rPr>
        <w:t>К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C730AC">
        <w:rPr>
          <w:rFonts w:eastAsia="Verdana"/>
          <w:b/>
          <w:bCs/>
          <w:sz w:val="20"/>
          <w:szCs w:val="20"/>
          <w:lang w:val="en-US"/>
        </w:rPr>
        <w:t>Е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z w:val="20"/>
          <w:szCs w:val="20"/>
          <w:lang w:val="en-US"/>
        </w:rPr>
        <w:t>ОМ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z w:val="20"/>
          <w:szCs w:val="20"/>
          <w:lang w:val="en-US"/>
        </w:rPr>
        <w:t>Г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</w:p>
    <w:p w:rsidR="00A71A73" w:rsidRDefault="00161CBF" w:rsidP="00A71A73">
      <w:pPr>
        <w:jc w:val="center"/>
        <w:rPr>
          <w:b/>
          <w:sz w:val="20"/>
          <w:szCs w:val="20"/>
          <w:lang w:val="sr-Cyrl-RS"/>
        </w:rPr>
      </w:pPr>
      <w:r w:rsidRPr="00C730A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="00A71A73" w:rsidRPr="00A71A73">
        <w:rPr>
          <w:rFonts w:cs="Times New Roman"/>
          <w:b/>
          <w:sz w:val="20"/>
          <w:szCs w:val="20"/>
          <w:lang w:val="sr-Cyrl-RS" w:eastAsia="en-GB"/>
        </w:rPr>
        <w:t>ЈАВН</w:t>
      </w:r>
      <w:r w:rsidR="00A71A73">
        <w:rPr>
          <w:rFonts w:cs="Times New Roman"/>
          <w:b/>
          <w:sz w:val="20"/>
          <w:szCs w:val="20"/>
          <w:lang w:val="sr-Cyrl-RS" w:eastAsia="en-GB"/>
        </w:rPr>
        <w:t>У</w:t>
      </w:r>
      <w:r w:rsidR="00A71A73" w:rsidRPr="00A71A73">
        <w:rPr>
          <w:rFonts w:cs="Times New Roman"/>
          <w:b/>
          <w:sz w:val="20"/>
          <w:szCs w:val="20"/>
          <w:lang w:val="sr-Cyrl-RS" w:eastAsia="en-GB"/>
        </w:rPr>
        <w:t xml:space="preserve"> НАБАВК</w:t>
      </w:r>
      <w:r w:rsidR="00A71A73">
        <w:rPr>
          <w:rFonts w:cs="Times New Roman"/>
          <w:b/>
          <w:sz w:val="20"/>
          <w:szCs w:val="20"/>
          <w:lang w:val="sr-Cyrl-RS" w:eastAsia="en-GB"/>
        </w:rPr>
        <w:t>У</w:t>
      </w:r>
      <w:r w:rsidR="00A71A73" w:rsidRPr="00A71A73">
        <w:rPr>
          <w:rFonts w:cs="Times New Roman"/>
          <w:sz w:val="20"/>
          <w:szCs w:val="20"/>
          <w:lang w:val="sr-Cyrl-RS" w:eastAsia="en-GB"/>
        </w:rPr>
        <w:t xml:space="preserve"> </w:t>
      </w:r>
      <w:r w:rsidR="00A71A73" w:rsidRPr="00A71A73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</w:t>
      </w:r>
      <w:r w:rsidR="00A71A73" w:rsidRPr="00A71A73">
        <w:rPr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A71A73" w:rsidRPr="00A71A73">
        <w:rPr>
          <w:b/>
          <w:sz w:val="20"/>
          <w:szCs w:val="20"/>
        </w:rPr>
        <w:t>PM</w:t>
      </w:r>
      <w:r w:rsidR="00A71A73" w:rsidRPr="00A71A73">
        <w:rPr>
          <w:b/>
          <w:sz w:val="20"/>
          <w:szCs w:val="20"/>
          <w:vertAlign w:val="subscript"/>
        </w:rPr>
        <w:t>10</w:t>
      </w:r>
      <w:r w:rsidR="00A71A73" w:rsidRPr="00A71A73">
        <w:rPr>
          <w:b/>
          <w:sz w:val="20"/>
          <w:szCs w:val="20"/>
        </w:rPr>
        <w:t xml:space="preserve">) </w:t>
      </w:r>
      <w:r w:rsidR="00A71A73" w:rsidRPr="00A71A73">
        <w:rPr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</w:p>
    <w:p w:rsidR="00161CBF" w:rsidRPr="00C14B12" w:rsidRDefault="00C14B12" w:rsidP="00C14B12">
      <w:pPr>
        <w:jc w:val="center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ЈН ОП 2/2018</w:t>
      </w:r>
    </w:p>
    <w:p w:rsidR="00161CBF" w:rsidRPr="00C730AC" w:rsidRDefault="00161CBF" w:rsidP="00161CBF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161CBF" w:rsidRPr="00C730AC" w:rsidTr="004E33DF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161CBF" w:rsidRPr="00C730AC" w:rsidRDefault="00161CBF" w:rsidP="004E33DF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161CBF" w:rsidRPr="00C730AC" w:rsidRDefault="00161CBF" w:rsidP="004E33D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C730AC">
              <w:rPr>
                <w:b/>
                <w:sz w:val="20"/>
                <w:szCs w:val="20"/>
                <w:lang w:val="sr-Cyrl-CS"/>
              </w:rPr>
              <w:t>,</w:t>
            </w:r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161CBF" w:rsidRPr="00C730AC" w:rsidRDefault="00161CBF" w:rsidP="004E33DF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Pr="00A33911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A33911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A33911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A33911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A33911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A33911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A33911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A33911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161CBF" w:rsidRPr="00C730AC" w:rsidTr="004E33DF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161CBF" w:rsidRPr="00C730AC" w:rsidRDefault="00161CBF" w:rsidP="004E33DF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161CBF" w:rsidRPr="00C730AC" w:rsidTr="004E33DF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3990"/>
        </w:trPr>
        <w:tc>
          <w:tcPr>
            <w:tcW w:w="9892" w:type="dxa"/>
            <w:gridSpan w:val="3"/>
          </w:tcPr>
          <w:p w:rsidR="00A71A73" w:rsidRDefault="00161CBF" w:rsidP="00A71A73">
            <w:pP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="00A71A73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61CBF" w:rsidRPr="00A71A73" w:rsidRDefault="00A71A73" w:rsidP="00A71A73">
            <w:pP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71A73">
              <w:rPr>
                <w:rFonts w:cs="Times New Roman"/>
                <w:b/>
                <w:sz w:val="20"/>
                <w:szCs w:val="20"/>
                <w:lang w:val="sr-Cyrl-RS" w:eastAsia="en-GB"/>
              </w:rPr>
              <w:t>ЈАВН</w:t>
            </w:r>
            <w:r>
              <w:rPr>
                <w:rFonts w:cs="Times New Roman"/>
                <w:b/>
                <w:sz w:val="20"/>
                <w:szCs w:val="20"/>
                <w:lang w:val="sr-Cyrl-RS" w:eastAsia="en-GB"/>
              </w:rPr>
              <w:t>А</w:t>
            </w:r>
            <w:r w:rsidRPr="00A71A73">
              <w:rPr>
                <w:rFonts w:cs="Times New Roman"/>
                <w:b/>
                <w:sz w:val="20"/>
                <w:szCs w:val="20"/>
                <w:lang w:val="sr-Cyrl-RS" w:eastAsia="en-GB"/>
              </w:rPr>
              <w:t xml:space="preserve"> НАБАВК</w:t>
            </w:r>
            <w:r>
              <w:rPr>
                <w:rFonts w:cs="Times New Roman"/>
                <w:b/>
                <w:sz w:val="20"/>
                <w:szCs w:val="20"/>
                <w:lang w:val="sr-Cyrl-RS" w:eastAsia="en-GB"/>
              </w:rPr>
              <w:t>А</w:t>
            </w:r>
            <w:r w:rsidRPr="00A71A73">
              <w:rPr>
                <w:rFonts w:cs="Times New Roman"/>
                <w:sz w:val="20"/>
                <w:szCs w:val="20"/>
                <w:lang w:val="sr-Cyrl-RS" w:eastAsia="en-GB"/>
              </w:rPr>
              <w:t xml:space="preserve"> </w:t>
            </w:r>
            <w:r w:rsidRPr="00A71A73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УСЛУГА </w:t>
            </w:r>
            <w:r w:rsidRPr="00A71A73">
              <w:rPr>
                <w:b/>
                <w:sz w:val="20"/>
                <w:szCs w:val="20"/>
                <w:lang w:val="sr-Cyrl-RS"/>
              </w:rPr>
              <w:t>ОДРЕЂИВАЊА МАСЕНЕ КОНЦЕНТРАЦИЈЕ И САДРЖАЈА СУСПЕНДОВАНИХ ЧЕСТИЦА (</w:t>
            </w:r>
            <w:r w:rsidRPr="00A71A73">
              <w:rPr>
                <w:b/>
                <w:sz w:val="20"/>
                <w:szCs w:val="20"/>
              </w:rPr>
              <w:t>PM</w:t>
            </w:r>
            <w:r w:rsidRPr="00A71A73">
              <w:rPr>
                <w:b/>
                <w:sz w:val="20"/>
                <w:szCs w:val="20"/>
                <w:vertAlign w:val="subscript"/>
              </w:rPr>
              <w:t>10</w:t>
            </w:r>
            <w:r w:rsidRPr="00A71A73">
              <w:rPr>
                <w:b/>
                <w:sz w:val="20"/>
                <w:szCs w:val="20"/>
              </w:rPr>
              <w:t xml:space="preserve">) </w:t>
            </w:r>
            <w:r w:rsidRPr="00A71A73">
              <w:rPr>
                <w:b/>
                <w:sz w:val="20"/>
                <w:szCs w:val="20"/>
                <w:lang w:val="sr-Cyrl-RS"/>
              </w:rPr>
              <w:t>НА АУТОМАТСКИМ СТАНИЦАМА ЗА ПРАЋЕЊЕ КВАЛИТЕТА АМБИЈЕНТАЛНОГ ВАЗДУХА (СОМБОР, КИКИНДА И ЗРЕЊАНИН) У ТРАЈАЊУ ОД ГОДИНУ ДАНА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sr-Cyrl-RS"/>
              </w:rPr>
            </w:pPr>
            <w:r>
              <w:rPr>
                <w:rFonts w:eastAsia="Calibri" w:cs="Times New Roman"/>
                <w:sz w:val="20"/>
                <w:szCs w:val="20"/>
                <w:lang w:val="sr-Cyrl-RS"/>
              </w:rPr>
              <w:t>-</w:t>
            </w:r>
            <w:r w:rsidRPr="00A45D3B">
              <w:rPr>
                <w:rFonts w:eastAsia="Calibri" w:cs="Times New Roman"/>
                <w:sz w:val="20"/>
                <w:szCs w:val="20"/>
                <w:lang w:val="sr-Cyrl-RS"/>
              </w:rPr>
              <w:t xml:space="preserve">ознака из ОРН: </w:t>
            </w:r>
            <w:r w:rsidRPr="00FB039A">
              <w:rPr>
                <w:rFonts w:eastAsia="Calibri" w:cs="Times New Roman"/>
                <w:sz w:val="20"/>
                <w:szCs w:val="20"/>
                <w:lang w:val="sr-Cyrl-RS"/>
              </w:rPr>
              <w:t>услуге у области заштите животне средине – 90700000</w:t>
            </w:r>
            <w:r>
              <w:rPr>
                <w:rFonts w:eastAsia="Calibri" w:cs="Times New Roman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FE5093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C730AC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FE5093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202429">
              <w:rPr>
                <w:sz w:val="20"/>
                <w:szCs w:val="20"/>
                <w:lang w:val="sr-Cyrl-CS" w:eastAsia="ar-SA"/>
              </w:rPr>
              <w:t xml:space="preserve"> </w:t>
            </w:r>
            <w:r w:rsidR="00A71A73">
              <w:rPr>
                <w:rFonts w:eastAsia="Times New Roman" w:cs="Times New Roman"/>
                <w:lang w:val="ru-RU"/>
              </w:rPr>
              <w:t>1.784.090</w:t>
            </w:r>
            <w:r w:rsidR="00A71A73" w:rsidRPr="00664F11">
              <w:rPr>
                <w:rFonts w:eastAsia="Times New Roman" w:cs="Times New Roman"/>
                <w:lang w:val="ru-RU"/>
              </w:rPr>
              <w:t xml:space="preserve">,00 </w:t>
            </w:r>
            <w:r w:rsidR="00A71A73" w:rsidRPr="00664F11">
              <w:rPr>
                <w:rFonts w:eastAsia="Times New Roman"/>
                <w:lang w:val="sr-Cyrl-CS"/>
              </w:rPr>
              <w:t>динара без пдв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61CBF" w:rsidRPr="00A522F3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C730A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161CBF" w:rsidRPr="00C730AC" w:rsidRDefault="00161CBF" w:rsidP="004E33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C730AC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161CBF" w:rsidRPr="00C730AC" w:rsidRDefault="00161CBF" w:rsidP="004E33DF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>–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C730A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161CBF" w:rsidRPr="00C730AC" w:rsidRDefault="00161CBF" w:rsidP="004E33DF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161CBF" w:rsidRPr="00C730AC" w:rsidRDefault="00161CBF" w:rsidP="004E33DF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161CBF" w:rsidRPr="00C730AC" w:rsidRDefault="00161CBF" w:rsidP="004E33DF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Verdana" w:cs="Verdana"/>
                <w:sz w:val="20"/>
                <w:szCs w:val="20"/>
                <w:lang w:val="sr-Latn-RS"/>
              </w:rPr>
              <w:t>1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(једна);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161CBF" w:rsidRPr="004D495B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161CBF" w:rsidRPr="00C730AC" w:rsidRDefault="00161CBF" w:rsidP="004E33DF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161CBF" w:rsidRPr="00C730AC" w:rsidRDefault="00161CBF" w:rsidP="004E33DF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A71A73">
              <w:rPr>
                <w:rFonts w:eastAsia="Times New Roman" w:cs="Times New Roman"/>
                <w:lang w:val="ru-RU"/>
              </w:rPr>
              <w:t>1.784.090</w:t>
            </w:r>
            <w:r w:rsidR="00A71A73" w:rsidRPr="00664F11">
              <w:rPr>
                <w:rFonts w:eastAsia="Times New Roman" w:cs="Times New Roman"/>
                <w:lang w:val="ru-RU"/>
              </w:rPr>
              <w:t xml:space="preserve">,00 </w:t>
            </w:r>
            <w:r w:rsidR="00A71A73" w:rsidRPr="00664F11">
              <w:rPr>
                <w:rFonts w:eastAsia="Times New Roman"/>
                <w:lang w:val="sr-Cyrl-CS"/>
              </w:rPr>
              <w:t>динара без пдв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22465D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202429">
              <w:rPr>
                <w:sz w:val="20"/>
                <w:szCs w:val="20"/>
                <w:lang w:val="sr-Cyrl-CS" w:eastAsia="ar-SA"/>
              </w:rPr>
              <w:t xml:space="preserve"> </w:t>
            </w:r>
            <w:r w:rsidR="00A71A73">
              <w:rPr>
                <w:rFonts w:eastAsia="Times New Roman" w:cs="Times New Roman"/>
                <w:lang w:val="ru-RU"/>
              </w:rPr>
              <w:t>1.784.090</w:t>
            </w:r>
            <w:r w:rsidR="00A71A73" w:rsidRPr="00664F11">
              <w:rPr>
                <w:rFonts w:eastAsia="Times New Roman" w:cs="Times New Roman"/>
                <w:lang w:val="ru-RU"/>
              </w:rPr>
              <w:t xml:space="preserve">,00 </w:t>
            </w:r>
            <w:r w:rsidR="00A71A73" w:rsidRPr="00664F11">
              <w:rPr>
                <w:rFonts w:eastAsia="Times New Roman"/>
                <w:lang w:val="sr-Cyrl-CS"/>
              </w:rPr>
              <w:t>динара без пдв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161CBF" w:rsidRPr="00C730AC" w:rsidTr="004E33DF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A522F3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A522F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61CBF" w:rsidRPr="00A522F3" w:rsidRDefault="00161CBF" w:rsidP="004E33DF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71A73">
              <w:rPr>
                <w:rFonts w:eastAsia="Times New Roman" w:cs="Times New Roman"/>
                <w:lang w:val="ru-RU"/>
              </w:rPr>
              <w:t>1.784.090</w:t>
            </w:r>
            <w:r w:rsidR="00A71A73" w:rsidRPr="00664F11">
              <w:rPr>
                <w:rFonts w:eastAsia="Times New Roman" w:cs="Times New Roman"/>
                <w:lang w:val="ru-RU"/>
              </w:rPr>
              <w:t xml:space="preserve">,00 </w:t>
            </w:r>
            <w:r w:rsidR="00A71A73" w:rsidRPr="00664F11">
              <w:rPr>
                <w:rFonts w:eastAsia="Times New Roman"/>
                <w:lang w:val="sr-Cyrl-CS"/>
              </w:rPr>
              <w:t>динара без 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61CBF" w:rsidRPr="00C730AC" w:rsidRDefault="00161CBF" w:rsidP="00A71A73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71A73">
              <w:rPr>
                <w:rFonts w:eastAsia="Times New Roman" w:cs="Times New Roman"/>
                <w:lang w:val="ru-RU"/>
              </w:rPr>
              <w:t>1.784.090</w:t>
            </w:r>
            <w:r w:rsidR="00A71A73" w:rsidRPr="00664F11">
              <w:rPr>
                <w:rFonts w:eastAsia="Times New Roman" w:cs="Times New Roman"/>
                <w:lang w:val="ru-RU"/>
              </w:rPr>
              <w:t xml:space="preserve">,00 </w:t>
            </w:r>
            <w:r w:rsidR="00A71A73" w:rsidRPr="00664F11">
              <w:rPr>
                <w:rFonts w:eastAsia="Times New Roman"/>
                <w:lang w:val="sr-Cyrl-CS"/>
              </w:rPr>
              <w:t>динара без 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161CBF" w:rsidRDefault="00161CBF" w:rsidP="004E33D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161CBF" w:rsidRPr="004D495B" w:rsidRDefault="00161CBF" w:rsidP="00A71A73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12.Датум доношења одлуке о додели уговора: </w:t>
            </w:r>
            <w:r w:rsidR="00A71A73" w:rsidRPr="000E53F3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22.02.2018</w:t>
            </w:r>
            <w:r w:rsidRPr="000E53F3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. године</w:t>
            </w:r>
            <w:r w:rsidRPr="00D577BC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161CBF" w:rsidRPr="004D495B" w:rsidRDefault="00161CBF" w:rsidP="004E33DF">
            <w:pPr>
              <w:pStyle w:val="NoSpacing"/>
              <w:rPr>
                <w:rFonts w:eastAsia="Verdana" w:cs="Verdana"/>
                <w:b/>
                <w:bCs/>
                <w:spacing w:val="54"/>
                <w:lang w:val="sr-Cyrl-RS"/>
              </w:rPr>
            </w:pPr>
            <w:r>
              <w:rPr>
                <w:rFonts w:eastAsia="Verdana" w:cs="Verdana"/>
                <w:b/>
                <w:bCs/>
                <w:lang w:val="sr-Cyrl-RS"/>
              </w:rPr>
              <w:lastRenderedPageBreak/>
              <w:t>13.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Да</w:t>
            </w:r>
            <w:r w:rsidRPr="004D495B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4D495B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з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кључ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е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4D495B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уг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4D495B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4D495B">
              <w:rPr>
                <w:rFonts w:eastAsia="Verdana" w:cs="Verdana"/>
                <w:b/>
                <w:bCs/>
                <w:lang w:val="en-US"/>
              </w:rPr>
              <w:t>:</w:t>
            </w:r>
            <w:r w:rsidRPr="004D495B">
              <w:rPr>
                <w:rFonts w:eastAsia="Verdana" w:cs="Verdana"/>
                <w:b/>
                <w:bCs/>
                <w:spacing w:val="54"/>
                <w:lang w:val="sr-Cyrl-RS"/>
              </w:rPr>
              <w:t xml:space="preserve"> </w:t>
            </w:r>
            <w:r w:rsidR="0022465D" w:rsidRPr="0022465D">
              <w:t>27.02</w:t>
            </w:r>
            <w:r w:rsidR="00A71A73" w:rsidRPr="0022465D">
              <w:t>.2018.</w:t>
            </w:r>
            <w:r w:rsidRPr="00ED2F46">
              <w:rPr>
                <w:sz w:val="20"/>
                <w:szCs w:val="20"/>
              </w:rPr>
              <w:t xml:space="preserve"> </w:t>
            </w:r>
            <w:proofErr w:type="spellStart"/>
            <w:r w:rsidRPr="00ED2F46">
              <w:rPr>
                <w:sz w:val="20"/>
                <w:szCs w:val="20"/>
              </w:rPr>
              <w:t>године</w:t>
            </w:r>
            <w:proofErr w:type="spellEnd"/>
            <w:r>
              <w:rPr>
                <w:lang w:val="sr-Cyrl-RS"/>
              </w:rPr>
              <w:t>;</w:t>
            </w: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61CBF" w:rsidRPr="00C730AC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161CBF" w:rsidRPr="00904A39" w:rsidTr="004E33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lang w:val="ru-RU"/>
                    </w:rPr>
                    <w:t>14.</w:t>
                  </w:r>
                  <w:r w:rsidRPr="00904A39">
                    <w:rPr>
                      <w:rFonts w:eastAsia="Times New Roman" w:cs="Times New Roman"/>
                      <w:b/>
                      <w:lang w:val="ru-RU"/>
                    </w:rPr>
                    <w:t xml:space="preserve">ОСНОВНИ ПОДАЦИ  </w:t>
                  </w:r>
                  <w:r>
                    <w:rPr>
                      <w:rFonts w:eastAsia="Times New Roman" w:cs="Times New Roman"/>
                      <w:b/>
                      <w:lang w:val="ru-RU"/>
                    </w:rPr>
                    <w:t>О ДОБАВЉАЧУ:</w:t>
                  </w:r>
                </w:p>
              </w:tc>
            </w:tr>
            <w:tr w:rsidR="00161CBF" w:rsidRPr="00904A39" w:rsidTr="004E33DF">
              <w:trPr>
                <w:trHeight w:val="118"/>
              </w:trPr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904A39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904A39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614D31">
                    <w:rPr>
                      <w:rFonts w:eastAsia="Times New Roman" w:cs="Times New Roman"/>
                      <w:b/>
                      <w:lang w:val="sr-Cyrl-RS"/>
                    </w:rPr>
                    <w:t>ИНСТИТУТ ЗА ЈАВНО ЗДРАВЉЕ ВОЈВОДИНЕ НОВИ САД</w:t>
                  </w:r>
                </w:p>
              </w:tc>
            </w:tr>
            <w:tr w:rsidR="00161CBF" w:rsidRPr="00904A39" w:rsidTr="004E33DF">
              <w:trPr>
                <w:trHeight w:val="343"/>
              </w:trPr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Calibri" w:cs="Times New Roman"/>
                      <w:lang w:val="sr-Cyrl-CS"/>
                    </w:rPr>
                  </w:pPr>
                  <w:r w:rsidRPr="00614D31">
                    <w:rPr>
                      <w:rFonts w:eastAsia="Times New Roman" w:cs="Times New Roman"/>
                      <w:b/>
                      <w:lang w:val="sr-Cyrl-RS"/>
                    </w:rPr>
                    <w:t>Нови Сад, Футошка 121</w:t>
                  </w:r>
                </w:p>
              </w:tc>
            </w:tr>
            <w:tr w:rsidR="00161CBF" w:rsidRPr="00904A39" w:rsidTr="004E33DF"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>08246912</w:t>
                  </w:r>
                </w:p>
              </w:tc>
            </w:tr>
            <w:tr w:rsidR="00161CBF" w:rsidRPr="00904A39" w:rsidTr="004E33DF"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>100452714</w:t>
                  </w:r>
                </w:p>
              </w:tc>
            </w:tr>
            <w:tr w:rsidR="00161CBF" w:rsidRPr="00904A39" w:rsidTr="004E33DF">
              <w:trPr>
                <w:trHeight w:val="45"/>
              </w:trPr>
              <w:tc>
                <w:tcPr>
                  <w:tcW w:w="3058" w:type="dxa"/>
                </w:tcPr>
                <w:p w:rsidR="00161CBF" w:rsidRPr="00904A39" w:rsidRDefault="00161CBF" w:rsidP="004E33DF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161CBF" w:rsidRPr="00904A39" w:rsidRDefault="00A71A73" w:rsidP="00A71A73">
                  <w:pPr>
                    <w:rPr>
                      <w:rFonts w:eastAsia="Times New Roman" w:cs="Times New Roman"/>
                      <w:lang w:val="sr-Cyrl-CS"/>
                    </w:rPr>
                  </w:pPr>
                  <w:r>
                    <w:rPr>
                      <w:rFonts w:eastAsia="Times New Roman" w:cs="Times New Roman"/>
                      <w:lang w:val="sr-Cyrl-CS"/>
                    </w:rPr>
                    <w:t xml:space="preserve">Проф. др </w:t>
                  </w:r>
                  <w:r w:rsidRPr="00A45D3B">
                    <w:rPr>
                      <w:rFonts w:eastAsia="Times New Roman" w:cs="Times New Roman"/>
                      <w:lang w:val="sr-Cyrl-CS"/>
                    </w:rPr>
                    <w:t>Владимир Петровић</w:t>
                  </w:r>
                </w:p>
              </w:tc>
            </w:tr>
          </w:tbl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161CBF" w:rsidRPr="00C730AC" w:rsidRDefault="00161CBF" w:rsidP="004E33DF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A71A73" w:rsidRPr="00A71A73" w:rsidRDefault="00161CBF" w:rsidP="00A71A73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sr-Cyrl-RS" w:eastAsia="ar-SA"/>
              </w:rPr>
            </w:pP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извршења 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свих </w:t>
            </w:r>
            <w:r w:rsidR="008C0B4D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уговорених услуга.</w:t>
            </w:r>
          </w:p>
          <w:p w:rsidR="00161CBF" w:rsidRPr="00C730AC" w:rsidRDefault="008C0B4D" w:rsidP="004E33DF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bookmarkStart w:id="0" w:name="_GoBack"/>
            <w:bookmarkEnd w:id="0"/>
            <w:r w:rsidR="00161CBF"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161CBF" w:rsidRPr="004D495B" w:rsidRDefault="00161CBF" w:rsidP="004E33DF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61CBF" w:rsidRPr="00C730AC" w:rsidTr="004E33DF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161CBF" w:rsidRPr="004D495B" w:rsidRDefault="00161CBF" w:rsidP="004E33DF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61CBF" w:rsidRPr="00C730AC" w:rsidRDefault="00161CBF" w:rsidP="004E33D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161CBF" w:rsidRPr="00C730AC" w:rsidRDefault="00161CBF" w:rsidP="00161CBF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161CBF" w:rsidRPr="00C730AC" w:rsidRDefault="00161CBF" w:rsidP="00161CBF">
      <w:pPr>
        <w:rPr>
          <w:sz w:val="20"/>
          <w:szCs w:val="20"/>
        </w:rPr>
      </w:pPr>
    </w:p>
    <w:p w:rsidR="00161CBF" w:rsidRPr="00C730AC" w:rsidRDefault="00161CBF" w:rsidP="00161CBF">
      <w:pPr>
        <w:rPr>
          <w:sz w:val="20"/>
          <w:szCs w:val="20"/>
        </w:rPr>
      </w:pPr>
    </w:p>
    <w:p w:rsidR="00161CBF" w:rsidRPr="00C730AC" w:rsidRDefault="00161CBF" w:rsidP="00161CBF"/>
    <w:p w:rsidR="00161CBF" w:rsidRDefault="00161CBF" w:rsidP="00161CBF"/>
    <w:p w:rsidR="00161CBF" w:rsidRDefault="00161CBF" w:rsidP="00161CBF"/>
    <w:p w:rsidR="00161CBF" w:rsidRDefault="00161CBF" w:rsidP="00161CBF"/>
    <w:p w:rsidR="007535EF" w:rsidRDefault="007535EF"/>
    <w:sectPr w:rsidR="007535EF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BF"/>
    <w:rsid w:val="000E53F3"/>
    <w:rsid w:val="00161CBF"/>
    <w:rsid w:val="0022465D"/>
    <w:rsid w:val="007535EF"/>
    <w:rsid w:val="008C0B4D"/>
    <w:rsid w:val="00A71A73"/>
    <w:rsid w:val="00C1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161CB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161C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1CB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161CB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161CBF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161C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1CBF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161CB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cp:lastPrinted>2018-03-01T12:58:00Z</cp:lastPrinted>
  <dcterms:created xsi:type="dcterms:W3CDTF">2018-02-22T13:16:00Z</dcterms:created>
  <dcterms:modified xsi:type="dcterms:W3CDTF">2018-03-01T12:59:00Z</dcterms:modified>
</cp:coreProperties>
</file>