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AE" w:rsidRPr="00470227" w:rsidRDefault="001F36AE" w:rsidP="001F36AE">
      <w:pPr>
        <w:widowControl w:val="0"/>
        <w:spacing w:before="68" w:after="0" w:line="242" w:lineRule="exact"/>
        <w:ind w:right="263"/>
        <w:jc w:val="both"/>
        <w:rPr>
          <w:rFonts w:eastAsia="Verdana"/>
          <w:sz w:val="20"/>
          <w:szCs w:val="20"/>
          <w:lang w:val="sr-Cyrl-RS"/>
        </w:rPr>
      </w:pPr>
      <w:proofErr w:type="spellStart"/>
      <w:proofErr w:type="gramStart"/>
      <w:r w:rsidRPr="00470227">
        <w:rPr>
          <w:rFonts w:eastAsia="Verdana"/>
          <w:spacing w:val="-1"/>
          <w:sz w:val="20"/>
          <w:szCs w:val="20"/>
          <w:lang w:val="en-US"/>
        </w:rPr>
        <w:t>Н</w:t>
      </w:r>
      <w:r w:rsidRPr="00470227">
        <w:rPr>
          <w:rFonts w:eastAsia="Verdana"/>
          <w:sz w:val="20"/>
          <w:szCs w:val="20"/>
          <w:lang w:val="en-US"/>
        </w:rPr>
        <w:t>а</w:t>
      </w:r>
      <w:proofErr w:type="spellEnd"/>
      <w:r w:rsidRPr="00470227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/>
          <w:spacing w:val="1"/>
          <w:sz w:val="20"/>
          <w:szCs w:val="20"/>
          <w:lang w:val="en-US"/>
        </w:rPr>
        <w:t>о</w:t>
      </w:r>
      <w:r w:rsidRPr="00470227">
        <w:rPr>
          <w:rFonts w:eastAsia="Verdana"/>
          <w:spacing w:val="-1"/>
          <w:sz w:val="20"/>
          <w:szCs w:val="20"/>
          <w:lang w:val="en-US"/>
        </w:rPr>
        <w:t>с</w:t>
      </w:r>
      <w:r w:rsidRPr="00470227">
        <w:rPr>
          <w:rFonts w:eastAsia="Verdana"/>
          <w:spacing w:val="2"/>
          <w:sz w:val="20"/>
          <w:szCs w:val="20"/>
          <w:lang w:val="en-US"/>
        </w:rPr>
        <w:t>н</w:t>
      </w:r>
      <w:r w:rsidRPr="00470227">
        <w:rPr>
          <w:rFonts w:eastAsia="Verdana"/>
          <w:spacing w:val="-1"/>
          <w:sz w:val="20"/>
          <w:szCs w:val="20"/>
          <w:lang w:val="en-US"/>
        </w:rPr>
        <w:t>о</w:t>
      </w:r>
      <w:r w:rsidRPr="00470227">
        <w:rPr>
          <w:rFonts w:eastAsia="Verdana"/>
          <w:spacing w:val="1"/>
          <w:sz w:val="20"/>
          <w:szCs w:val="20"/>
          <w:lang w:val="en-US"/>
        </w:rPr>
        <w:t>в</w:t>
      </w:r>
      <w:r w:rsidRPr="00470227">
        <w:rPr>
          <w:rFonts w:eastAsia="Verdana"/>
          <w:sz w:val="20"/>
          <w:szCs w:val="20"/>
          <w:lang w:val="en-US"/>
        </w:rPr>
        <w:t>у</w:t>
      </w:r>
      <w:proofErr w:type="spellEnd"/>
      <w:r w:rsidRPr="00470227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/>
          <w:sz w:val="20"/>
          <w:szCs w:val="20"/>
          <w:lang w:val="en-US"/>
        </w:rPr>
        <w:t>члана</w:t>
      </w:r>
      <w:proofErr w:type="spellEnd"/>
      <w:r w:rsidRPr="00470227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5</w:t>
      </w:r>
      <w:r w:rsidRPr="00470227">
        <w:rPr>
          <w:rFonts w:eastAsia="Verdana"/>
          <w:spacing w:val="3"/>
          <w:sz w:val="20"/>
          <w:szCs w:val="20"/>
          <w:lang w:val="en-US"/>
        </w:rPr>
        <w:t>5</w:t>
      </w:r>
      <w:r w:rsidRPr="00470227">
        <w:rPr>
          <w:rFonts w:eastAsia="Verdana"/>
          <w:sz w:val="20"/>
          <w:szCs w:val="20"/>
          <w:lang w:val="en-US"/>
        </w:rPr>
        <w:t>.</w:t>
      </w:r>
      <w:proofErr w:type="gramEnd"/>
      <w:r w:rsidRPr="00470227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470227">
        <w:rPr>
          <w:rFonts w:eastAsia="Verdana"/>
          <w:spacing w:val="-1"/>
          <w:sz w:val="20"/>
          <w:szCs w:val="20"/>
          <w:lang w:val="en-US"/>
        </w:rPr>
        <w:t>с</w:t>
      </w:r>
      <w:r w:rsidRPr="00470227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470227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70227">
        <w:rPr>
          <w:rFonts w:eastAsia="Verdana" w:cs="Verdana"/>
          <w:sz w:val="20"/>
          <w:szCs w:val="20"/>
          <w:lang w:val="en-US"/>
        </w:rPr>
        <w:t>1.</w:t>
      </w:r>
      <w:r w:rsidRPr="00470227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470227">
        <w:rPr>
          <w:rFonts w:eastAsia="Verdana"/>
          <w:sz w:val="20"/>
          <w:szCs w:val="20"/>
          <w:lang w:val="en-US"/>
        </w:rPr>
        <w:t>та</w:t>
      </w:r>
      <w:r w:rsidRPr="00470227">
        <w:rPr>
          <w:rFonts w:eastAsia="Verdana"/>
          <w:spacing w:val="-1"/>
          <w:sz w:val="20"/>
          <w:szCs w:val="20"/>
          <w:lang w:val="en-US"/>
        </w:rPr>
        <w:t>ч</w:t>
      </w:r>
      <w:r w:rsidRPr="00470227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470227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470227">
        <w:rPr>
          <w:rFonts w:eastAsia="Verdana" w:cs="Verdana"/>
          <w:sz w:val="20"/>
          <w:szCs w:val="20"/>
          <w:lang w:val="en-US"/>
        </w:rPr>
        <w:t>8)</w:t>
      </w:r>
      <w:r w:rsidRPr="00470227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и</w:t>
      </w:r>
      <w:r w:rsidRPr="00470227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/>
          <w:sz w:val="20"/>
          <w:szCs w:val="20"/>
          <w:lang w:val="en-US"/>
        </w:rPr>
        <w:t>члана</w:t>
      </w:r>
      <w:proofErr w:type="spellEnd"/>
      <w:r w:rsidRPr="00470227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116.</w:t>
      </w:r>
      <w:r w:rsidRPr="00470227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470227">
        <w:rPr>
          <w:rFonts w:eastAsia="Verdana"/>
          <w:spacing w:val="1"/>
          <w:sz w:val="20"/>
          <w:szCs w:val="20"/>
          <w:lang w:val="en-US"/>
        </w:rPr>
        <w:t>с</w:t>
      </w:r>
      <w:r w:rsidRPr="00470227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470227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1.</w:t>
      </w:r>
      <w:r w:rsidRPr="00470227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/>
          <w:sz w:val="20"/>
          <w:szCs w:val="20"/>
          <w:lang w:val="en-US"/>
        </w:rPr>
        <w:t>З</w:t>
      </w:r>
      <w:r w:rsidRPr="00470227">
        <w:rPr>
          <w:rFonts w:eastAsia="Verdana"/>
          <w:spacing w:val="2"/>
          <w:sz w:val="20"/>
          <w:szCs w:val="20"/>
          <w:lang w:val="en-US"/>
        </w:rPr>
        <w:t>а</w:t>
      </w:r>
      <w:r w:rsidRPr="00470227">
        <w:rPr>
          <w:rFonts w:eastAsia="Verdana"/>
          <w:sz w:val="20"/>
          <w:szCs w:val="20"/>
          <w:lang w:val="en-US"/>
        </w:rPr>
        <w:t>к</w:t>
      </w:r>
      <w:r w:rsidRPr="00470227">
        <w:rPr>
          <w:rFonts w:eastAsia="Verdana"/>
          <w:spacing w:val="1"/>
          <w:sz w:val="20"/>
          <w:szCs w:val="20"/>
          <w:lang w:val="en-US"/>
        </w:rPr>
        <w:t>о</w:t>
      </w:r>
      <w:r w:rsidRPr="00470227">
        <w:rPr>
          <w:rFonts w:eastAsia="Verdana"/>
          <w:sz w:val="20"/>
          <w:szCs w:val="20"/>
          <w:lang w:val="en-US"/>
        </w:rPr>
        <w:t>на</w:t>
      </w:r>
      <w:proofErr w:type="spellEnd"/>
      <w:r w:rsidRPr="00470227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о</w:t>
      </w:r>
      <w:r w:rsidRPr="00470227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/>
          <w:sz w:val="20"/>
          <w:szCs w:val="20"/>
          <w:lang w:val="en-US"/>
        </w:rPr>
        <w:t>ја</w:t>
      </w:r>
      <w:r w:rsidRPr="00470227">
        <w:rPr>
          <w:rFonts w:eastAsia="Verdana"/>
          <w:spacing w:val="1"/>
          <w:sz w:val="20"/>
          <w:szCs w:val="20"/>
          <w:lang w:val="en-US"/>
        </w:rPr>
        <w:t>в</w:t>
      </w:r>
      <w:r w:rsidRPr="00470227">
        <w:rPr>
          <w:rFonts w:eastAsia="Verdana"/>
          <w:sz w:val="20"/>
          <w:szCs w:val="20"/>
          <w:lang w:val="en-US"/>
        </w:rPr>
        <w:t>ним</w:t>
      </w:r>
      <w:proofErr w:type="spellEnd"/>
      <w:r w:rsidRPr="00470227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/>
          <w:sz w:val="20"/>
          <w:szCs w:val="20"/>
          <w:lang w:val="en-US"/>
        </w:rPr>
        <w:t>наба</w:t>
      </w:r>
      <w:r w:rsidRPr="00470227">
        <w:rPr>
          <w:rFonts w:eastAsia="Verdana"/>
          <w:spacing w:val="-1"/>
          <w:sz w:val="20"/>
          <w:szCs w:val="20"/>
          <w:lang w:val="en-US"/>
        </w:rPr>
        <w:t>в</w:t>
      </w:r>
      <w:r w:rsidRPr="00470227">
        <w:rPr>
          <w:rFonts w:eastAsia="Verdana"/>
          <w:sz w:val="20"/>
          <w:szCs w:val="20"/>
          <w:lang w:val="en-US"/>
        </w:rPr>
        <w:t>кама</w:t>
      </w:r>
      <w:proofErr w:type="spellEnd"/>
      <w:r w:rsidRPr="00470227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(„</w:t>
      </w:r>
      <w:proofErr w:type="spellStart"/>
      <w:r w:rsidRPr="00470227">
        <w:rPr>
          <w:rFonts w:eastAsia="Verdana"/>
          <w:sz w:val="20"/>
          <w:szCs w:val="20"/>
          <w:lang w:val="en-US"/>
        </w:rPr>
        <w:t>С</w:t>
      </w:r>
      <w:r w:rsidRPr="00470227">
        <w:rPr>
          <w:rFonts w:eastAsia="Verdana"/>
          <w:spacing w:val="1"/>
          <w:sz w:val="20"/>
          <w:szCs w:val="20"/>
          <w:lang w:val="en-US"/>
        </w:rPr>
        <w:t>лу</w:t>
      </w:r>
      <w:r w:rsidRPr="00470227">
        <w:rPr>
          <w:rFonts w:eastAsia="Verdana"/>
          <w:sz w:val="20"/>
          <w:szCs w:val="20"/>
          <w:lang w:val="en-US"/>
        </w:rPr>
        <w:t>жб</w:t>
      </w:r>
      <w:r w:rsidRPr="00470227">
        <w:rPr>
          <w:rFonts w:eastAsia="Verdana"/>
          <w:spacing w:val="-2"/>
          <w:sz w:val="20"/>
          <w:szCs w:val="20"/>
          <w:lang w:val="en-US"/>
        </w:rPr>
        <w:t>е</w:t>
      </w:r>
      <w:r w:rsidRPr="00470227">
        <w:rPr>
          <w:rFonts w:eastAsia="Verdana"/>
          <w:spacing w:val="2"/>
          <w:sz w:val="20"/>
          <w:szCs w:val="20"/>
          <w:lang w:val="en-US"/>
        </w:rPr>
        <w:t>н</w:t>
      </w:r>
      <w:r w:rsidRPr="00470227">
        <w:rPr>
          <w:rFonts w:eastAsia="Verdana"/>
          <w:sz w:val="20"/>
          <w:szCs w:val="20"/>
          <w:lang w:val="en-US"/>
        </w:rPr>
        <w:t>и</w:t>
      </w:r>
      <w:proofErr w:type="spellEnd"/>
      <w:r w:rsidRPr="00470227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/>
          <w:spacing w:val="-1"/>
          <w:sz w:val="20"/>
          <w:szCs w:val="20"/>
          <w:lang w:val="en-US"/>
        </w:rPr>
        <w:t>г</w:t>
      </w:r>
      <w:r w:rsidRPr="00470227">
        <w:rPr>
          <w:rFonts w:eastAsia="Verdana"/>
          <w:spacing w:val="1"/>
          <w:sz w:val="20"/>
          <w:szCs w:val="20"/>
          <w:lang w:val="en-US"/>
        </w:rPr>
        <w:t>л</w:t>
      </w:r>
      <w:r w:rsidRPr="00470227">
        <w:rPr>
          <w:rFonts w:eastAsia="Verdana"/>
          <w:sz w:val="20"/>
          <w:szCs w:val="20"/>
          <w:lang w:val="en-US"/>
        </w:rPr>
        <w:t>асн</w:t>
      </w:r>
      <w:r w:rsidRPr="00470227">
        <w:rPr>
          <w:rFonts w:eastAsia="Verdana"/>
          <w:spacing w:val="1"/>
          <w:sz w:val="20"/>
          <w:szCs w:val="20"/>
          <w:lang w:val="en-US"/>
        </w:rPr>
        <w:t>и</w:t>
      </w:r>
      <w:r w:rsidRPr="00470227">
        <w:rPr>
          <w:rFonts w:eastAsia="Verdana"/>
          <w:sz w:val="20"/>
          <w:szCs w:val="20"/>
          <w:lang w:val="en-US"/>
        </w:rPr>
        <w:t>к</w:t>
      </w:r>
      <w:proofErr w:type="spellEnd"/>
      <w:r w:rsidRPr="00470227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Р</w:t>
      </w:r>
      <w:r w:rsidRPr="00470227">
        <w:rPr>
          <w:rFonts w:eastAsia="Verdana"/>
          <w:spacing w:val="2"/>
          <w:sz w:val="20"/>
          <w:szCs w:val="20"/>
          <w:lang w:val="en-US"/>
        </w:rPr>
        <w:t>С</w:t>
      </w:r>
      <w:r w:rsidRPr="00470227">
        <w:rPr>
          <w:rFonts w:eastAsia="Verdana"/>
          <w:sz w:val="20"/>
          <w:szCs w:val="20"/>
          <w:lang w:val="en-US"/>
        </w:rPr>
        <w:t>“,</w:t>
      </w:r>
      <w:r w:rsidRPr="00470227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б</w:t>
      </w:r>
      <w:r w:rsidRPr="00470227">
        <w:rPr>
          <w:rFonts w:eastAsia="Verdana"/>
          <w:spacing w:val="2"/>
          <w:sz w:val="20"/>
          <w:szCs w:val="20"/>
          <w:lang w:val="en-US"/>
        </w:rPr>
        <w:t>р</w:t>
      </w:r>
      <w:r w:rsidRPr="00470227">
        <w:rPr>
          <w:rFonts w:eastAsia="Verdana"/>
          <w:sz w:val="20"/>
          <w:szCs w:val="20"/>
          <w:lang w:val="en-US"/>
        </w:rPr>
        <w:t>.124/12</w:t>
      </w:r>
      <w:r w:rsidRPr="00470227">
        <w:rPr>
          <w:rFonts w:eastAsia="Verdana"/>
          <w:sz w:val="20"/>
          <w:szCs w:val="20"/>
          <w:lang w:val="sr-Cyrl-RS"/>
        </w:rPr>
        <w:t xml:space="preserve">, </w:t>
      </w:r>
      <w:r w:rsidRPr="00470227">
        <w:rPr>
          <w:rFonts w:cs="Calibri,Bold"/>
          <w:bCs/>
          <w:sz w:val="20"/>
          <w:szCs w:val="20"/>
          <w:lang w:val="sr-Cyrl-RS"/>
        </w:rPr>
        <w:t>14/15 и 68/15</w:t>
      </w:r>
      <w:r w:rsidRPr="00470227">
        <w:rPr>
          <w:rFonts w:eastAsia="Verdana"/>
          <w:sz w:val="20"/>
          <w:szCs w:val="20"/>
          <w:lang w:val="sr-Cyrl-RS"/>
        </w:rPr>
        <w:t>)</w:t>
      </w:r>
    </w:p>
    <w:p w:rsidR="001F36AE" w:rsidRPr="00470227" w:rsidRDefault="001F36AE" w:rsidP="001F36AE">
      <w:pPr>
        <w:widowControl w:val="0"/>
        <w:spacing w:before="18" w:after="0" w:line="220" w:lineRule="exact"/>
        <w:jc w:val="both"/>
        <w:rPr>
          <w:sz w:val="20"/>
          <w:szCs w:val="20"/>
          <w:lang w:val="en-US"/>
        </w:rPr>
      </w:pPr>
    </w:p>
    <w:p w:rsidR="001F36AE" w:rsidRPr="00470227" w:rsidRDefault="001F36AE" w:rsidP="001F36AE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470227">
        <w:rPr>
          <w:rFonts w:eastAsia="Verdana"/>
          <w:b/>
          <w:bCs/>
          <w:sz w:val="20"/>
          <w:szCs w:val="20"/>
          <w:lang w:val="en-US"/>
        </w:rPr>
        <w:t>Н</w:t>
      </w:r>
      <w:r w:rsidRPr="00470227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А</w:t>
      </w:r>
      <w:r w:rsidRPr="00470227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Р</w:t>
      </w:r>
      <w:r w:rsidRPr="00470227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У</w:t>
      </w:r>
      <w:r w:rsidRPr="00470227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Ч И</w:t>
      </w:r>
      <w:r w:rsidRPr="00470227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Л А</w:t>
      </w:r>
      <w:r w:rsidRPr="00470227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Ц</w:t>
      </w:r>
    </w:p>
    <w:p w:rsidR="001F36AE" w:rsidRPr="00470227" w:rsidRDefault="001F36AE" w:rsidP="001F36AE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proofErr w:type="spellStart"/>
      <w:r w:rsidRPr="00470227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470227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470227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470227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470227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470227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470227">
        <w:rPr>
          <w:rFonts w:cs="Arial"/>
          <w:b/>
          <w:sz w:val="20"/>
          <w:szCs w:val="20"/>
          <w:lang w:val="en-US"/>
        </w:rPr>
        <w:t xml:space="preserve"> -</w:t>
      </w:r>
      <w:r w:rsidRPr="00470227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Покрајински</w:t>
      </w:r>
      <w:proofErr w:type="spellEnd"/>
      <w:r w:rsidRPr="00470227">
        <w:rPr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секретаријат</w:t>
      </w:r>
      <w:proofErr w:type="spellEnd"/>
      <w:r w:rsidRPr="00470227">
        <w:rPr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за</w:t>
      </w:r>
      <w:proofErr w:type="spellEnd"/>
      <w:r w:rsidRPr="00470227">
        <w:rPr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урбанизам</w:t>
      </w:r>
      <w:proofErr w:type="spellEnd"/>
      <w:r w:rsidRPr="00470227">
        <w:rPr>
          <w:b/>
          <w:sz w:val="20"/>
          <w:szCs w:val="20"/>
          <w:lang w:val="en-US"/>
        </w:rPr>
        <w:t xml:space="preserve"> и </w:t>
      </w:r>
      <w:proofErr w:type="spellStart"/>
      <w:r w:rsidRPr="00470227">
        <w:rPr>
          <w:b/>
          <w:sz w:val="20"/>
          <w:szCs w:val="20"/>
          <w:lang w:val="en-US"/>
        </w:rPr>
        <w:t>заштиту</w:t>
      </w:r>
      <w:proofErr w:type="spellEnd"/>
      <w:r w:rsidRPr="00470227">
        <w:rPr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животне</w:t>
      </w:r>
      <w:proofErr w:type="spellEnd"/>
      <w:r w:rsidRPr="00470227">
        <w:rPr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средине</w:t>
      </w:r>
      <w:proofErr w:type="spellEnd"/>
      <w:r w:rsidRPr="00470227">
        <w:rPr>
          <w:b/>
          <w:sz w:val="20"/>
          <w:szCs w:val="20"/>
          <w:lang w:val="sr-Cyrl-CS"/>
        </w:rPr>
        <w:t>,</w:t>
      </w:r>
      <w:r w:rsidRPr="00470227">
        <w:rPr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Нови</w:t>
      </w:r>
      <w:proofErr w:type="spellEnd"/>
      <w:r w:rsidRPr="00470227">
        <w:rPr>
          <w:b/>
          <w:sz w:val="20"/>
          <w:szCs w:val="20"/>
          <w:lang w:val="en-US"/>
        </w:rPr>
        <w:t xml:space="preserve"> </w:t>
      </w:r>
      <w:proofErr w:type="spellStart"/>
      <w:r w:rsidRPr="00470227">
        <w:rPr>
          <w:b/>
          <w:sz w:val="20"/>
          <w:szCs w:val="20"/>
          <w:lang w:val="en-US"/>
        </w:rPr>
        <w:t>Сад</w:t>
      </w:r>
      <w:proofErr w:type="spellEnd"/>
    </w:p>
    <w:p w:rsidR="001F36AE" w:rsidRPr="00470227" w:rsidRDefault="001F36AE" w:rsidP="001F36AE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470227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                </w:t>
      </w:r>
      <w:proofErr w:type="spellStart"/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Pr="00470227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470227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Pr="00470227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470227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470227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470227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470227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470227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470227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470227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470227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470227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70227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470227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1F36AE" w:rsidRPr="00470227" w:rsidRDefault="001F36AE" w:rsidP="001F36AE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1F36AE" w:rsidRPr="00470227" w:rsidRDefault="001F36AE" w:rsidP="001F36AE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470227">
        <w:rPr>
          <w:rFonts w:eastAsia="Verdana"/>
          <w:spacing w:val="-1"/>
          <w:sz w:val="20"/>
          <w:szCs w:val="20"/>
          <w:lang w:val="en-US"/>
        </w:rPr>
        <w:t>о</w:t>
      </w:r>
      <w:proofErr w:type="gramEnd"/>
      <w:r w:rsidRPr="00470227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б</w:t>
      </w:r>
      <w:r w:rsidRPr="00470227">
        <w:rPr>
          <w:rFonts w:eastAsia="Verdana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pacing w:val="1"/>
          <w:sz w:val="20"/>
          <w:szCs w:val="20"/>
          <w:lang w:val="en-US"/>
        </w:rPr>
        <w:t>ј</w:t>
      </w:r>
      <w:r w:rsidRPr="00470227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а</w:t>
      </w:r>
      <w:r w:rsidRPr="00470227">
        <w:rPr>
          <w:rFonts w:eastAsia="Verdana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pacing w:val="-1"/>
          <w:sz w:val="20"/>
          <w:szCs w:val="20"/>
          <w:lang w:val="en-US"/>
        </w:rPr>
        <w:t>в</w:t>
      </w:r>
      <w:r w:rsidRPr="00470227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pacing w:val="2"/>
          <w:sz w:val="20"/>
          <w:szCs w:val="20"/>
          <w:lang w:val="en-US"/>
        </w:rPr>
        <w:t>љ</w:t>
      </w:r>
      <w:r w:rsidRPr="00470227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у</w:t>
      </w:r>
      <w:r w:rsidRPr="00470227">
        <w:rPr>
          <w:rFonts w:eastAsia="Verdana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ј</w:t>
      </w:r>
      <w:r w:rsidRPr="00470227">
        <w:rPr>
          <w:rFonts w:eastAsia="Verdana"/>
          <w:sz w:val="20"/>
          <w:szCs w:val="20"/>
          <w:lang w:val="sr-Cyrl-RS"/>
        </w:rPr>
        <w:t xml:space="preserve"> </w:t>
      </w:r>
      <w:r w:rsidRPr="00470227">
        <w:rPr>
          <w:rFonts w:eastAsia="Verdana"/>
          <w:sz w:val="20"/>
          <w:szCs w:val="20"/>
          <w:lang w:val="en-US"/>
        </w:rPr>
        <w:t>е</w:t>
      </w:r>
    </w:p>
    <w:p w:rsidR="001F36AE" w:rsidRPr="00470227" w:rsidRDefault="001F36AE" w:rsidP="001F36AE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1F36AE" w:rsidRPr="00470227" w:rsidRDefault="001F36AE" w:rsidP="001F36AE">
      <w:pPr>
        <w:widowControl w:val="0"/>
        <w:spacing w:line="240" w:lineRule="auto"/>
        <w:jc w:val="center"/>
        <w:outlineLvl w:val="0"/>
        <w:rPr>
          <w:rFonts w:eastAsia="Verdana"/>
          <w:b/>
          <w:sz w:val="20"/>
          <w:szCs w:val="20"/>
          <w:lang w:val="en-US"/>
        </w:rPr>
      </w:pPr>
      <w:r w:rsidRPr="00470227">
        <w:rPr>
          <w:rFonts w:eastAsia="Verdana"/>
          <w:b/>
          <w:bCs/>
          <w:sz w:val="20"/>
          <w:szCs w:val="20"/>
          <w:lang w:val="en-US"/>
        </w:rPr>
        <w:t>ОБ</w:t>
      </w:r>
      <w:r w:rsidRPr="00470227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470227">
        <w:rPr>
          <w:rFonts w:eastAsia="Verdana"/>
          <w:b/>
          <w:bCs/>
          <w:sz w:val="20"/>
          <w:szCs w:val="20"/>
          <w:lang w:val="en-US"/>
        </w:rPr>
        <w:t>ЕШТЕЊЕ</w:t>
      </w:r>
      <w:r w:rsidRPr="00470227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z w:val="20"/>
          <w:szCs w:val="20"/>
          <w:lang w:val="en-US"/>
        </w:rPr>
        <w:t>О</w:t>
      </w:r>
      <w:r w:rsidRPr="00470227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470227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470227">
        <w:rPr>
          <w:rFonts w:eastAsia="Verdana"/>
          <w:b/>
          <w:bCs/>
          <w:sz w:val="20"/>
          <w:szCs w:val="20"/>
          <w:lang w:val="en-US"/>
        </w:rPr>
        <w:t>К</w:t>
      </w:r>
      <w:r w:rsidRPr="00470227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470227">
        <w:rPr>
          <w:rFonts w:eastAsia="Verdana"/>
          <w:b/>
          <w:bCs/>
          <w:sz w:val="20"/>
          <w:szCs w:val="20"/>
          <w:lang w:val="en-US"/>
        </w:rPr>
        <w:t>Е</w:t>
      </w:r>
      <w:r w:rsidRPr="00470227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470227">
        <w:rPr>
          <w:rFonts w:eastAsia="Verdana"/>
          <w:b/>
          <w:bCs/>
          <w:sz w:val="20"/>
          <w:szCs w:val="20"/>
          <w:lang w:val="en-US"/>
        </w:rPr>
        <w:t>ОМ</w:t>
      </w:r>
      <w:r w:rsidRPr="00470227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470227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470227">
        <w:rPr>
          <w:rFonts w:eastAsia="Verdana"/>
          <w:b/>
          <w:bCs/>
          <w:sz w:val="20"/>
          <w:szCs w:val="20"/>
          <w:lang w:val="en-US"/>
        </w:rPr>
        <w:t>Г</w:t>
      </w:r>
      <w:r w:rsidRPr="00470227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470227">
        <w:rPr>
          <w:rFonts w:eastAsia="Verdana"/>
          <w:b/>
          <w:bCs/>
          <w:sz w:val="20"/>
          <w:szCs w:val="20"/>
          <w:lang w:val="en-US"/>
        </w:rPr>
        <w:t>О</w:t>
      </w:r>
      <w:r w:rsidRPr="00470227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470227">
        <w:rPr>
          <w:rFonts w:eastAsia="Verdana"/>
          <w:b/>
          <w:bCs/>
          <w:sz w:val="20"/>
          <w:szCs w:val="20"/>
          <w:lang w:val="en-US"/>
        </w:rPr>
        <w:t>У</w:t>
      </w:r>
    </w:p>
    <w:p w:rsidR="001F36AE" w:rsidRPr="00470227" w:rsidRDefault="001F36AE" w:rsidP="001F36AE">
      <w:pPr>
        <w:spacing w:line="240" w:lineRule="auto"/>
        <w:ind w:firstLine="720"/>
        <w:jc w:val="center"/>
        <w:rPr>
          <w:b/>
          <w:sz w:val="20"/>
          <w:szCs w:val="20"/>
          <w:lang w:val="sr-Cyrl-RS" w:eastAsia="ar-SA"/>
        </w:rPr>
      </w:pPr>
      <w:r w:rsidRPr="00470227">
        <w:rPr>
          <w:rFonts w:eastAsia="Verdana" w:cs="Verdana"/>
          <w:b/>
          <w:bCs/>
          <w:spacing w:val="-8"/>
          <w:sz w:val="20"/>
          <w:szCs w:val="20"/>
          <w:lang w:val="sr-Cyrl-RS"/>
        </w:rPr>
        <w:t>О</w:t>
      </w:r>
      <w:r w:rsidRPr="00470227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470227">
        <w:rPr>
          <w:b/>
          <w:sz w:val="20"/>
          <w:szCs w:val="20"/>
          <w:lang w:val="sr-Cyrl-CS"/>
        </w:rPr>
        <w:t xml:space="preserve">ЈАВНОЈ НАБАВЦИ </w:t>
      </w:r>
      <w:r w:rsidRPr="00E0114B">
        <w:rPr>
          <w:rFonts w:eastAsia="Times New Roman" w:cs="Times New Roman"/>
          <w:b/>
          <w:sz w:val="20"/>
          <w:szCs w:val="20"/>
          <w:lang w:val="ru-RU"/>
        </w:rPr>
        <w:t>ДОБАРА - ЛИЦЕНЦЕ ЗА ГЕОПОРТАЛ</w:t>
      </w:r>
      <w:r w:rsidRPr="00E0114B">
        <w:rPr>
          <w:rFonts w:eastAsia="Times New Roman" w:cs="Times New Roman"/>
          <w:b/>
          <w:sz w:val="20"/>
          <w:szCs w:val="20"/>
        </w:rPr>
        <w:t xml:space="preserve">   </w:t>
      </w:r>
    </w:p>
    <w:p w:rsidR="001F36AE" w:rsidRPr="00470227" w:rsidRDefault="001F36AE" w:rsidP="001F36AE">
      <w:pPr>
        <w:spacing w:line="240" w:lineRule="auto"/>
        <w:ind w:firstLine="720"/>
        <w:rPr>
          <w:b/>
          <w:sz w:val="20"/>
          <w:szCs w:val="20"/>
          <w:lang w:val="sr-Cyrl-RS" w:eastAsia="ar-SA"/>
        </w:rPr>
      </w:pPr>
      <w:r w:rsidRPr="00470227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                                                                </w:t>
      </w:r>
      <w:r>
        <w:rPr>
          <w:rFonts w:eastAsia="Times New Roman" w:cs="Times New Roman"/>
          <w:b/>
          <w:sz w:val="20"/>
          <w:szCs w:val="20"/>
          <w:lang w:val="sr-Latn-RS" w:eastAsia="ar-SA"/>
        </w:rPr>
        <w:t xml:space="preserve">       </w:t>
      </w:r>
      <w:r w:rsidRPr="00470227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ЈН </w:t>
      </w:r>
      <w:r w:rsidRPr="00470227">
        <w:rPr>
          <w:b/>
          <w:sz w:val="20"/>
          <w:szCs w:val="20"/>
          <w:lang w:val="sr-Cyrl-RS" w:eastAsia="ar-SA"/>
        </w:rPr>
        <w:t>ОП 1</w:t>
      </w:r>
      <w:r>
        <w:rPr>
          <w:b/>
          <w:sz w:val="20"/>
          <w:szCs w:val="20"/>
          <w:lang w:val="sr-Latn-RS" w:eastAsia="ar-SA"/>
        </w:rPr>
        <w:t>3</w:t>
      </w:r>
      <w:r w:rsidRPr="00470227">
        <w:rPr>
          <w:b/>
          <w:sz w:val="20"/>
          <w:szCs w:val="20"/>
          <w:lang w:val="sr-Cyrl-RS" w:eastAsia="ar-SA"/>
        </w:rPr>
        <w:t>/2017</w:t>
      </w:r>
    </w:p>
    <w:p w:rsidR="001F36AE" w:rsidRPr="00470227" w:rsidRDefault="001F36AE" w:rsidP="001F36AE">
      <w:pPr>
        <w:widowControl w:val="0"/>
        <w:spacing w:before="8" w:after="0" w:line="260" w:lineRule="exact"/>
        <w:rPr>
          <w:sz w:val="20"/>
          <w:szCs w:val="20"/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9"/>
        <w:gridCol w:w="9843"/>
        <w:gridCol w:w="20"/>
        <w:gridCol w:w="418"/>
        <w:gridCol w:w="20"/>
      </w:tblGrid>
      <w:tr w:rsidR="001F36AE" w:rsidRPr="00470227" w:rsidTr="0059490D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3"/>
          </w:tcPr>
          <w:p w:rsidR="001F36AE" w:rsidRPr="00470227" w:rsidRDefault="001F36AE" w:rsidP="0059490D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1.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proofErr w:type="spellEnd"/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1F36AE" w:rsidRPr="00470227" w:rsidTr="0059490D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3"/>
          </w:tcPr>
          <w:p w:rsidR="001F36AE" w:rsidRPr="00470227" w:rsidRDefault="001F36AE" w:rsidP="0059490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proofErr w:type="spellEnd"/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470227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proofErr w:type="spellEnd"/>
            <w:r w:rsidRPr="0047022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proofErr w:type="spellEnd"/>
            <w:r w:rsidRPr="00470227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proofErr w:type="spellEnd"/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Покрајински</w:t>
            </w:r>
            <w:proofErr w:type="spellEnd"/>
            <w:r w:rsidRPr="0047022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секретаријат</w:t>
            </w:r>
            <w:proofErr w:type="spellEnd"/>
            <w:r w:rsidRPr="0047022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47022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урбанизам</w:t>
            </w:r>
            <w:proofErr w:type="spellEnd"/>
            <w:r w:rsidRPr="00470227">
              <w:rPr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заштиту</w:t>
            </w:r>
            <w:proofErr w:type="spellEnd"/>
            <w:r w:rsidRPr="0047022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животне</w:t>
            </w:r>
            <w:proofErr w:type="spellEnd"/>
            <w:r w:rsidRPr="0047022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средине</w:t>
            </w:r>
            <w:proofErr w:type="spellEnd"/>
            <w:r w:rsidRPr="00470227">
              <w:rPr>
                <w:b/>
                <w:sz w:val="20"/>
                <w:szCs w:val="20"/>
                <w:lang w:val="sr-Cyrl-CS"/>
              </w:rPr>
              <w:t>,</w:t>
            </w:r>
            <w:r w:rsidRPr="0047022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Нови</w:t>
            </w:r>
            <w:proofErr w:type="spellEnd"/>
            <w:r w:rsidRPr="0047022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b/>
                <w:sz w:val="20"/>
                <w:szCs w:val="20"/>
                <w:lang w:val="en-US"/>
              </w:rPr>
              <w:t>Сад</w:t>
            </w:r>
            <w:proofErr w:type="spellEnd"/>
          </w:p>
          <w:p w:rsidR="001F36AE" w:rsidRPr="00470227" w:rsidRDefault="001F36AE" w:rsidP="0059490D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470227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  <w:proofErr w:type="spellEnd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47022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proofErr w:type="spellEnd"/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  <w:r w:rsidRPr="00470227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www.</w:t>
              </w:r>
              <w:r w:rsidRPr="00470227">
                <w:rPr>
                  <w:rStyle w:val="Hyperlink"/>
                  <w:rFonts w:eastAsia="Verdana" w:cs="Verdana"/>
                  <w:sz w:val="20"/>
                  <w:szCs w:val="20"/>
                  <w:lang w:val="sr-Latn-RS"/>
                </w:rPr>
                <w:t>ekourb</w:t>
              </w:r>
              <w:r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.</w:t>
              </w:r>
              <w:r w:rsidRPr="00470227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Pr="00470227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Pr="00470227">
                <w:rPr>
                  <w:rStyle w:val="Hyperlink"/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Pr="00470227">
                <w:rPr>
                  <w:rStyle w:val="Hyperlink"/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Pr="00470227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Pr="00470227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Pr="00470227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Pr="00470227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Pr="00470227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1F36AE" w:rsidRPr="00470227" w:rsidTr="0059490D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3"/>
          </w:tcPr>
          <w:p w:rsidR="001F36AE" w:rsidRPr="00470227" w:rsidRDefault="001F36AE" w:rsidP="0059490D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2.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 државне управе;</w:t>
            </w:r>
          </w:p>
          <w:p w:rsidR="001F36AE" w:rsidRPr="00470227" w:rsidRDefault="001F36AE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1F36AE" w:rsidRPr="00470227" w:rsidTr="0059490D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3"/>
          </w:tcPr>
          <w:p w:rsidR="001F36AE" w:rsidRPr="00470227" w:rsidRDefault="001F36AE" w:rsidP="001F36AE">
            <w:pPr>
              <w:pStyle w:val="NoSpacing"/>
              <w:rPr>
                <w:lang w:val="sr-Cyrl-RS"/>
              </w:rPr>
            </w:pPr>
            <w:r w:rsidRPr="00470227">
              <w:rPr>
                <w:spacing w:val="1"/>
                <w:lang w:val="sr-Cyrl-RS"/>
              </w:rPr>
              <w:t>3.</w:t>
            </w:r>
            <w:proofErr w:type="spellStart"/>
            <w:r w:rsidRPr="00470227">
              <w:rPr>
                <w:spacing w:val="1"/>
                <w:lang w:val="en-US"/>
              </w:rPr>
              <w:t>В</w:t>
            </w:r>
            <w:r w:rsidRPr="00470227">
              <w:rPr>
                <w:spacing w:val="2"/>
                <w:lang w:val="en-US"/>
              </w:rPr>
              <w:t>р</w:t>
            </w:r>
            <w:r w:rsidRPr="00470227">
              <w:rPr>
                <w:spacing w:val="-2"/>
                <w:lang w:val="en-US"/>
              </w:rPr>
              <w:t>с</w:t>
            </w:r>
            <w:r w:rsidRPr="00470227">
              <w:rPr>
                <w:spacing w:val="-1"/>
                <w:lang w:val="en-US"/>
              </w:rPr>
              <w:t>т</w:t>
            </w:r>
            <w:r w:rsidRPr="00470227">
              <w:rPr>
                <w:lang w:val="en-US"/>
              </w:rPr>
              <w:t>а</w:t>
            </w:r>
            <w:proofErr w:type="spellEnd"/>
            <w:r w:rsidRPr="00470227">
              <w:rPr>
                <w:spacing w:val="-9"/>
                <w:lang w:val="en-US"/>
              </w:rPr>
              <w:t xml:space="preserve"> </w:t>
            </w:r>
            <w:proofErr w:type="spellStart"/>
            <w:r w:rsidRPr="00470227">
              <w:rPr>
                <w:lang w:val="en-US"/>
              </w:rPr>
              <w:t>п</w:t>
            </w:r>
            <w:r w:rsidRPr="00470227">
              <w:rPr>
                <w:spacing w:val="2"/>
                <w:lang w:val="en-US"/>
              </w:rPr>
              <w:t>р</w:t>
            </w:r>
            <w:r w:rsidRPr="00470227">
              <w:rPr>
                <w:lang w:val="en-US"/>
              </w:rPr>
              <w:t>е</w:t>
            </w:r>
            <w:r w:rsidRPr="00470227">
              <w:rPr>
                <w:spacing w:val="1"/>
                <w:lang w:val="en-US"/>
              </w:rPr>
              <w:t>д</w:t>
            </w:r>
            <w:r w:rsidRPr="00470227">
              <w:rPr>
                <w:lang w:val="en-US"/>
              </w:rPr>
              <w:t>ме</w:t>
            </w:r>
            <w:r w:rsidRPr="00470227">
              <w:rPr>
                <w:spacing w:val="-1"/>
                <w:lang w:val="en-US"/>
              </w:rPr>
              <w:t>та</w:t>
            </w:r>
            <w:proofErr w:type="spellEnd"/>
            <w:r w:rsidRPr="00470227">
              <w:rPr>
                <w:lang w:val="en-US"/>
              </w:rPr>
              <w:t xml:space="preserve">: </w:t>
            </w:r>
            <w:r w:rsidRPr="001F36AE">
              <w:rPr>
                <w:sz w:val="20"/>
                <w:szCs w:val="20"/>
                <w:lang w:val="sr-Cyrl-RS"/>
              </w:rPr>
              <w:t>добра</w:t>
            </w:r>
            <w:r w:rsidRPr="001F36AE">
              <w:rPr>
                <w:sz w:val="20"/>
                <w:szCs w:val="20"/>
                <w:lang w:val="sr-Cyrl-RS"/>
              </w:rPr>
              <w:t>;</w:t>
            </w:r>
          </w:p>
        </w:tc>
      </w:tr>
      <w:tr w:rsidR="001F36AE" w:rsidRPr="00470227" w:rsidTr="0059490D">
        <w:trPr>
          <w:gridAfter w:val="3"/>
          <w:wAfter w:w="458" w:type="dxa"/>
          <w:trHeight w:hRule="exact" w:val="3281"/>
        </w:trPr>
        <w:tc>
          <w:tcPr>
            <w:tcW w:w="9892" w:type="dxa"/>
            <w:gridSpan w:val="3"/>
          </w:tcPr>
          <w:p w:rsidR="001F36AE" w:rsidRPr="00470227" w:rsidRDefault="001F36AE" w:rsidP="005949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4.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470227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470227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proofErr w:type="spellEnd"/>
            <w:r w:rsidRPr="00470227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470227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proofErr w:type="spellEnd"/>
            <w:r w:rsidRPr="00470227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470227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470227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47022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):</w:t>
            </w:r>
          </w:p>
          <w:p w:rsidR="001F36AE" w:rsidRPr="00FA4A16" w:rsidRDefault="001F36AE" w:rsidP="005949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noProof/>
                <w:sz w:val="20"/>
                <w:szCs w:val="20"/>
                <w:lang w:val="sr-Latn-RS"/>
              </w:rPr>
            </w:pPr>
            <w:r w:rsidRPr="00470227">
              <w:rPr>
                <w:b/>
                <w:sz w:val="20"/>
                <w:szCs w:val="20"/>
                <w:lang w:val="sr-Cyrl-CS"/>
              </w:rPr>
              <w:t xml:space="preserve">ЈАВНА НАБАВКА </w:t>
            </w:r>
            <w:r w:rsidRPr="00E0114B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ДОБАРА - ЛИЦЕНЦЕ ЗА ГЕОПОРТАЛ</w:t>
            </w:r>
            <w:r>
              <w:rPr>
                <w:rFonts w:eastAsia="Times New Roman" w:cs="Times New Roman"/>
                <w:b/>
                <w:noProof/>
                <w:sz w:val="20"/>
                <w:szCs w:val="20"/>
                <w:lang w:val="sr-Latn-RS"/>
              </w:rPr>
              <w:t>;</w:t>
            </w:r>
          </w:p>
          <w:p w:rsidR="001F36AE" w:rsidRPr="00470227" w:rsidRDefault="001F36AE" w:rsidP="0059490D">
            <w:pPr>
              <w:jc w:val="both"/>
              <w:rPr>
                <w:rFonts w:eastAsia="Times New Roman" w:cs="Arial"/>
                <w:bCs/>
                <w:sz w:val="20"/>
                <w:szCs w:val="20"/>
                <w:lang w:val="sr-Cyrl-CS"/>
              </w:rPr>
            </w:pPr>
            <w:r w:rsidRPr="0047022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>Назив</w:t>
            </w:r>
            <w:proofErr w:type="spellEnd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>ознака</w:t>
            </w:r>
            <w:proofErr w:type="spellEnd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>из</w:t>
            </w:r>
            <w:proofErr w:type="spellEnd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>Општег</w:t>
            </w:r>
            <w:proofErr w:type="spellEnd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>речника</w:t>
            </w:r>
            <w:proofErr w:type="spellEnd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>набавки</w:t>
            </w:r>
            <w:proofErr w:type="spellEnd"/>
            <w:r w:rsidRPr="00470227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–</w:t>
            </w:r>
            <w:r w:rsidRPr="0047022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програмски пакет за базе података и оперативни програмски пакет</w:t>
            </w:r>
            <w:r w:rsidRPr="00470227">
              <w:rPr>
                <w:rFonts w:eastAsia="Times New Roman" w:cs="Arial"/>
                <w:bCs/>
                <w:sz w:val="20"/>
                <w:szCs w:val="20"/>
                <w:lang w:val="sr-Cyrl-CS"/>
              </w:rPr>
              <w:t xml:space="preserve"> – 48600000;</w:t>
            </w: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:rsidR="001F36AE" w:rsidRPr="00470227" w:rsidRDefault="001F36AE" w:rsidP="0059490D">
            <w:pPr>
              <w:suppressAutoHyphens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5.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470227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470227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бим</w:t>
            </w:r>
            <w:proofErr w:type="spellEnd"/>
            <w:r w:rsidRPr="00470227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470227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бележ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470227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47022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470227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470227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озн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470227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ац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470227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470227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proofErr w:type="spellEnd"/>
            <w:r w:rsidRPr="00470227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назив</w:t>
            </w:r>
            <w:proofErr w:type="spellEnd"/>
            <w:r w:rsidRPr="00470227">
              <w:rPr>
                <w:rFonts w:eastAsia="Verdana" w:cs="Verdana"/>
                <w:b/>
                <w:bCs/>
                <w:spacing w:val="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47022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470227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пш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470227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:/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;</w:t>
            </w: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sz w:val="20"/>
                <w:szCs w:val="20"/>
                <w:lang w:val="sr-Cyrl-CS" w:eastAsia="ar-SA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6.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sz w:val="20"/>
                <w:szCs w:val="20"/>
                <w:lang w:val="sr-Cyrl-CS" w:eastAsia="ar-SA"/>
              </w:rPr>
              <w:t xml:space="preserve"> </w:t>
            </w:r>
            <w:r>
              <w:rPr>
                <w:sz w:val="20"/>
                <w:szCs w:val="20"/>
                <w:lang w:val="sr-Latn-RS" w:eastAsia="ar-SA"/>
              </w:rPr>
              <w:t>10.000</w:t>
            </w:r>
            <w:r w:rsidRPr="00470227">
              <w:rPr>
                <w:sz w:val="20"/>
                <w:szCs w:val="20"/>
                <w:lang w:val="sr-Cyrl-CS" w:eastAsia="ar-SA"/>
              </w:rPr>
              <w:t xml:space="preserve">.000,00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470227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F36AE" w:rsidRPr="00470227" w:rsidRDefault="001F36AE" w:rsidP="0059490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7.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470227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470227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Verdana" w:cs="Verdana"/>
                <w:spacing w:val="1"/>
                <w:sz w:val="20"/>
                <w:szCs w:val="20"/>
                <w:lang w:val="sr-Cyrl-RS"/>
              </w:rPr>
            </w:pPr>
            <w:proofErr w:type="spellStart"/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ријум</w:t>
            </w:r>
            <w:proofErr w:type="spellEnd"/>
            <w:r w:rsidRPr="00470227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470227">
              <w:rPr>
                <w:rFonts w:eastAsia="Verdana" w:cs="Verdana"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уг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proofErr w:type="spellEnd"/>
            <w:r w:rsidRPr="00470227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дме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470227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proofErr w:type="spellEnd"/>
            <w:r w:rsidRPr="00470227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ку</w:t>
            </w:r>
            <w:proofErr w:type="spellEnd"/>
            <w:r w:rsidRPr="00470227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470227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470227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proofErr w:type="spellEnd"/>
            <w:r w:rsidRPr="00470227">
              <w:rPr>
                <w:rFonts w:eastAsia="Verdana" w:cs="Verdana"/>
                <w:spacing w:val="1"/>
                <w:sz w:val="20"/>
                <w:szCs w:val="20"/>
                <w:lang w:val="sr-Cyrl-RS"/>
              </w:rPr>
              <w:t>на;</w:t>
            </w: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Verdana" w:cs="Verdana"/>
                <w:spacing w:val="1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Verdana" w:cs="Verdana"/>
                <w:spacing w:val="1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1F36AE" w:rsidRPr="00470227" w:rsidRDefault="001F36AE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470227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70227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470227">
              <w:rPr>
                <w:rFonts w:eastAsia="Times New Roman" w:cs="Times New Roman"/>
                <w:b/>
                <w:sz w:val="20"/>
                <w:szCs w:val="20"/>
              </w:rPr>
              <w:t xml:space="preserve"> 3</w:t>
            </w:r>
            <w:r w:rsidRPr="00470227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proofErr w:type="spellStart"/>
            <w:r w:rsidRPr="00470227">
              <w:rPr>
                <w:rFonts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470227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470227">
              <w:rPr>
                <w:rFonts w:cs="Arial"/>
                <w:bCs/>
                <w:sz w:val="20"/>
                <w:szCs w:val="20"/>
                <w:lang w:val="en-US" w:eastAsia="en-GB"/>
              </w:rPr>
              <w:t>одржавање</w:t>
            </w:r>
            <w:proofErr w:type="spellEnd"/>
            <w:r w:rsidRPr="00470227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470227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r w:rsidRPr="00470227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firewall) </w:t>
            </w:r>
            <w:r w:rsidRPr="00470227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470227">
              <w:rPr>
                <w:rFonts w:eastAsia="Times New Roman" w:cs="Times New Roman"/>
                <w:sz w:val="20"/>
                <w:szCs w:val="20"/>
              </w:rPr>
              <w:t xml:space="preserve">83.333,00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</w:p>
          <w:p w:rsidR="001F36AE" w:rsidRPr="00470227" w:rsidRDefault="001F36AE" w:rsidP="0059490D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Times New Roman" w:cs="Times New Roman"/>
                <w:sz w:val="20"/>
                <w:szCs w:val="20"/>
              </w:rPr>
              <w:t>–</w:t>
            </w: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470227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470227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470227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470227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470227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470227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proofErr w:type="spellStart"/>
            <w:r w:rsidRPr="00470227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  <w:r w:rsidRPr="00470227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1F36AE" w:rsidRPr="00470227" w:rsidRDefault="001F36AE" w:rsidP="0059490D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470227">
              <w:rPr>
                <w:rFonts w:eastAsia="Times New Roman" w:cs="Arial"/>
                <w:b/>
                <w:sz w:val="20"/>
                <w:szCs w:val="20"/>
                <w:lang w:val="sr-Latn-RS"/>
              </w:rPr>
              <w:t xml:space="preserve"> 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</w:p>
          <w:p w:rsidR="001F36AE" w:rsidRPr="00470227" w:rsidRDefault="001F36AE" w:rsidP="0059490D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470227">
              <w:rPr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F36AE" w:rsidRPr="00470227" w:rsidTr="0059490D">
        <w:trPr>
          <w:gridAfter w:val="3"/>
          <w:wAfter w:w="458" w:type="dxa"/>
          <w:trHeight w:hRule="exact" w:val="415"/>
        </w:trPr>
        <w:tc>
          <w:tcPr>
            <w:tcW w:w="9892" w:type="dxa"/>
            <w:gridSpan w:val="3"/>
          </w:tcPr>
          <w:p w:rsidR="001F36AE" w:rsidRPr="00470227" w:rsidRDefault="001F36AE" w:rsidP="0059490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8.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proofErr w:type="spellEnd"/>
            <w:r w:rsidRPr="00470227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proofErr w:type="spellEnd"/>
            <w:r w:rsidRPr="00470227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sr-Latn-RS"/>
              </w:rPr>
              <w:t>1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(једна);</w:t>
            </w:r>
          </w:p>
        </w:tc>
      </w:tr>
      <w:tr w:rsidR="001F36AE" w:rsidRPr="00470227" w:rsidTr="0059490D">
        <w:trPr>
          <w:gridAfter w:val="3"/>
          <w:wAfter w:w="458" w:type="dxa"/>
          <w:trHeight w:hRule="exact" w:val="864"/>
        </w:trPr>
        <w:tc>
          <w:tcPr>
            <w:tcW w:w="20" w:type="dxa"/>
          </w:tcPr>
          <w:p w:rsidR="001F36AE" w:rsidRPr="00470227" w:rsidRDefault="001F36AE" w:rsidP="0059490D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470227"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9872" w:type="dxa"/>
            <w:gridSpan w:val="2"/>
          </w:tcPr>
          <w:p w:rsidR="001F36AE" w:rsidRPr="00470227" w:rsidRDefault="001F36AE" w:rsidP="0059490D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en-U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9.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1F36AE" w:rsidRPr="00470227" w:rsidRDefault="001F36AE" w:rsidP="0059490D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>
              <w:rPr>
                <w:rFonts w:eastAsia="Verdana" w:cs="Verdana"/>
                <w:sz w:val="20"/>
                <w:szCs w:val="20"/>
                <w:lang w:val="sr-Latn-RS"/>
              </w:rPr>
              <w:t>10.000</w:t>
            </w:r>
            <w:r w:rsidRPr="00470227">
              <w:rPr>
                <w:rFonts w:eastAsia="Times New Roman" w:cs="Times New Roman"/>
                <w:sz w:val="20"/>
                <w:szCs w:val="20"/>
                <w:lang w:val="sr-Cyrl-CS" w:eastAsia="ar-SA"/>
              </w:rPr>
              <w:t>.000,00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470227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470227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  <w:p w:rsidR="001F36AE" w:rsidRPr="00470227" w:rsidRDefault="001F36AE" w:rsidP="001F36AE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47022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470227">
              <w:rPr>
                <w:sz w:val="20"/>
                <w:szCs w:val="20"/>
                <w:lang w:val="sr-Cyrl-CS" w:eastAsia="ar-SA"/>
              </w:rPr>
              <w:t xml:space="preserve"> </w:t>
            </w:r>
            <w:r>
              <w:rPr>
                <w:sz w:val="20"/>
                <w:szCs w:val="20"/>
                <w:lang w:val="sr-Latn-RS" w:eastAsia="ar-SA"/>
              </w:rPr>
              <w:t>10.000</w:t>
            </w:r>
            <w:r w:rsidRPr="00470227">
              <w:rPr>
                <w:rFonts w:eastAsia="Times New Roman" w:cs="Times New Roman"/>
                <w:sz w:val="20"/>
                <w:szCs w:val="20"/>
                <w:lang w:val="sr-Cyrl-CS" w:eastAsia="ar-SA"/>
              </w:rPr>
              <w:t>.000,00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470227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470227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</w:tc>
      </w:tr>
      <w:tr w:rsidR="001F36AE" w:rsidRPr="00470227" w:rsidTr="0059490D">
        <w:trPr>
          <w:gridAfter w:val="3"/>
          <w:wAfter w:w="458" w:type="dxa"/>
          <w:trHeight w:hRule="exact" w:val="51"/>
        </w:trPr>
        <w:tc>
          <w:tcPr>
            <w:tcW w:w="20" w:type="dxa"/>
          </w:tcPr>
          <w:p w:rsidR="001F36AE" w:rsidRPr="00470227" w:rsidRDefault="001F36AE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2"/>
          </w:tcPr>
          <w:p w:rsidR="001F36AE" w:rsidRPr="00470227" w:rsidRDefault="001F36AE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F36AE" w:rsidRPr="00470227" w:rsidTr="0059490D">
        <w:trPr>
          <w:gridBefore w:val="1"/>
          <w:wBefore w:w="20" w:type="dxa"/>
          <w:trHeight w:hRule="exact" w:val="1075"/>
        </w:trPr>
        <w:tc>
          <w:tcPr>
            <w:tcW w:w="29" w:type="dxa"/>
            <w:vMerge w:val="restart"/>
          </w:tcPr>
          <w:p w:rsidR="001F36AE" w:rsidRPr="00470227" w:rsidRDefault="001F36AE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1F36AE" w:rsidRPr="00470227" w:rsidRDefault="001F36AE" w:rsidP="0059490D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10.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proofErr w:type="spellEnd"/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proofErr w:type="spellEnd"/>
            <w:r w:rsidRPr="00470227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1F36AE" w:rsidRPr="00470227" w:rsidRDefault="001F36AE" w:rsidP="0059490D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38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>10.000</w:t>
            </w:r>
            <w:r w:rsidRPr="00470227">
              <w:rPr>
                <w:rFonts w:eastAsia="Times New Roman" w:cs="Times New Roman"/>
                <w:sz w:val="20"/>
                <w:szCs w:val="20"/>
                <w:lang w:val="sr-Cyrl-CS" w:eastAsia="ar-SA"/>
              </w:rPr>
              <w:t>.000,00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  <w:p w:rsidR="001F36AE" w:rsidRPr="00470227" w:rsidRDefault="001F36AE" w:rsidP="001F36AE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470227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470227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470227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470227">
              <w:rPr>
                <w:sz w:val="20"/>
                <w:szCs w:val="20"/>
                <w:lang w:val="sr-Cyrl-CS" w:eastAsia="ar-SA"/>
              </w:rPr>
              <w:t xml:space="preserve"> </w:t>
            </w:r>
            <w:r>
              <w:rPr>
                <w:sz w:val="20"/>
                <w:szCs w:val="20"/>
                <w:lang w:val="sr-Latn-RS" w:eastAsia="ar-SA"/>
              </w:rPr>
              <w:t>10.000</w:t>
            </w:r>
            <w:r w:rsidRPr="00470227">
              <w:rPr>
                <w:rFonts w:eastAsia="Times New Roman" w:cs="Times New Roman"/>
                <w:sz w:val="20"/>
                <w:szCs w:val="20"/>
                <w:lang w:val="sr-Cyrl-CS" w:eastAsia="ar-SA"/>
              </w:rPr>
              <w:t>.000,00</w:t>
            </w:r>
            <w:r w:rsidRPr="00470227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 xml:space="preserve"> </w:t>
            </w:r>
            <w:r w:rsidRPr="0047022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470227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470227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470227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470227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</w:tc>
        <w:tc>
          <w:tcPr>
            <w:tcW w:w="438" w:type="dxa"/>
            <w:gridSpan w:val="2"/>
          </w:tcPr>
          <w:p w:rsidR="001F36AE" w:rsidRPr="00470227" w:rsidRDefault="001F36AE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F36AE" w:rsidRPr="00470227" w:rsidTr="0059490D">
        <w:trPr>
          <w:gridBefore w:val="1"/>
          <w:wBefore w:w="20" w:type="dxa"/>
          <w:trHeight w:hRule="exact" w:val="1075"/>
        </w:trPr>
        <w:tc>
          <w:tcPr>
            <w:tcW w:w="29" w:type="dxa"/>
            <w:vMerge/>
          </w:tcPr>
          <w:p w:rsidR="001F36AE" w:rsidRPr="00470227" w:rsidRDefault="001F36AE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1F36AE" w:rsidRPr="00470227" w:rsidRDefault="001F36AE" w:rsidP="0059490D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11.Део или вредност уговора који ће се извршити преко подизвођача: /;</w:t>
            </w:r>
          </w:p>
          <w:p w:rsidR="001F36AE" w:rsidRPr="00470227" w:rsidRDefault="001F36AE" w:rsidP="0059490D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12.Датум доношења одлуке о додели уговора: 17.07.2017. године;</w:t>
            </w:r>
          </w:p>
        </w:tc>
        <w:tc>
          <w:tcPr>
            <w:tcW w:w="438" w:type="dxa"/>
            <w:gridSpan w:val="2"/>
          </w:tcPr>
          <w:p w:rsidR="001F36AE" w:rsidRPr="00470227" w:rsidRDefault="001F36AE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F36AE" w:rsidRPr="00470227" w:rsidTr="0059490D">
        <w:trPr>
          <w:gridBefore w:val="1"/>
          <w:wBefore w:w="20" w:type="dxa"/>
          <w:trHeight w:hRule="exact" w:val="65"/>
        </w:trPr>
        <w:tc>
          <w:tcPr>
            <w:tcW w:w="29" w:type="dxa"/>
            <w:vMerge/>
          </w:tcPr>
          <w:p w:rsidR="001F36AE" w:rsidRPr="00470227" w:rsidRDefault="001F36AE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1F36AE" w:rsidRPr="00470227" w:rsidRDefault="001F36AE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1F36AE" w:rsidRPr="00470227" w:rsidRDefault="001F36AE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F36AE" w:rsidRPr="00470227" w:rsidTr="0059490D">
        <w:trPr>
          <w:gridBefore w:val="1"/>
          <w:gridAfter w:val="1"/>
          <w:wBefore w:w="20" w:type="dxa"/>
          <w:wAfter w:w="20" w:type="dxa"/>
          <w:trHeight w:hRule="exact" w:val="47"/>
        </w:trPr>
        <w:tc>
          <w:tcPr>
            <w:tcW w:w="9872" w:type="dxa"/>
            <w:gridSpan w:val="2"/>
          </w:tcPr>
          <w:p w:rsidR="001F36AE" w:rsidRPr="00470227" w:rsidRDefault="001F36AE" w:rsidP="0059490D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1F36AE" w:rsidRPr="00470227" w:rsidRDefault="001F36AE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F36AE" w:rsidRPr="00470227" w:rsidTr="0059490D">
        <w:trPr>
          <w:gridBefore w:val="1"/>
          <w:gridAfter w:val="1"/>
          <w:wBefore w:w="20" w:type="dxa"/>
          <w:wAfter w:w="20" w:type="dxa"/>
          <w:trHeight w:hRule="exact" w:val="479"/>
        </w:trPr>
        <w:tc>
          <w:tcPr>
            <w:tcW w:w="9872" w:type="dxa"/>
            <w:gridSpan w:val="2"/>
          </w:tcPr>
          <w:p w:rsidR="001F36AE" w:rsidRPr="00470227" w:rsidRDefault="001F36AE" w:rsidP="0059490D">
            <w:pPr>
              <w:pStyle w:val="NoSpacing"/>
              <w:rPr>
                <w:rFonts w:eastAsia="Verdana" w:cs="Verdana"/>
                <w:b/>
                <w:bCs/>
                <w:spacing w:val="54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13.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кључ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sz w:val="20"/>
                <w:szCs w:val="20"/>
              </w:rPr>
              <w:t>2</w:t>
            </w:r>
            <w:r w:rsidRPr="00470227">
              <w:rPr>
                <w:sz w:val="20"/>
                <w:szCs w:val="20"/>
                <w:lang w:val="sr-Cyrl-RS"/>
              </w:rPr>
              <w:t>5</w:t>
            </w:r>
            <w:r w:rsidRPr="00470227">
              <w:rPr>
                <w:sz w:val="20"/>
                <w:szCs w:val="20"/>
              </w:rPr>
              <w:t>.0</w:t>
            </w:r>
            <w:r w:rsidRPr="00470227">
              <w:rPr>
                <w:sz w:val="20"/>
                <w:szCs w:val="20"/>
                <w:lang w:val="sr-Cyrl-RS"/>
              </w:rPr>
              <w:t>7</w:t>
            </w:r>
            <w:r w:rsidRPr="00470227">
              <w:rPr>
                <w:sz w:val="20"/>
                <w:szCs w:val="20"/>
              </w:rPr>
              <w:t xml:space="preserve">.2017. </w:t>
            </w:r>
            <w:proofErr w:type="spellStart"/>
            <w:r w:rsidRPr="00470227">
              <w:rPr>
                <w:sz w:val="20"/>
                <w:szCs w:val="20"/>
              </w:rPr>
              <w:t>године</w:t>
            </w:r>
            <w:proofErr w:type="spellEnd"/>
            <w:r w:rsidRPr="00470227">
              <w:rPr>
                <w:sz w:val="20"/>
                <w:szCs w:val="20"/>
                <w:lang w:val="sr-Cyrl-RS"/>
              </w:rPr>
              <w:t>;</w:t>
            </w:r>
          </w:p>
          <w:p w:rsidR="001F36AE" w:rsidRPr="00470227" w:rsidRDefault="001F36AE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1F36AE" w:rsidRPr="00470227" w:rsidRDefault="001F36AE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1F36AE" w:rsidRPr="00470227" w:rsidRDefault="001F36AE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1F36AE" w:rsidRPr="00470227" w:rsidRDefault="001F36AE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F36AE" w:rsidRPr="00470227" w:rsidTr="0059490D">
        <w:trPr>
          <w:gridBefore w:val="1"/>
          <w:gridAfter w:val="1"/>
          <w:wBefore w:w="20" w:type="dxa"/>
          <w:wAfter w:w="20" w:type="dxa"/>
          <w:trHeight w:hRule="exact" w:val="2234"/>
        </w:trPr>
        <w:tc>
          <w:tcPr>
            <w:tcW w:w="9872" w:type="dxa"/>
            <w:gridSpan w:val="2"/>
          </w:tcPr>
          <w:tbl>
            <w:tblPr>
              <w:tblStyle w:val="Style1"/>
              <w:tblW w:w="9484" w:type="dxa"/>
              <w:tblLayout w:type="fixed"/>
              <w:tblLook w:val="01E0" w:firstRow="1" w:lastRow="1" w:firstColumn="1" w:lastColumn="1" w:noHBand="0" w:noVBand="0"/>
            </w:tblPr>
            <w:tblGrid>
              <w:gridCol w:w="3118"/>
              <w:gridCol w:w="6366"/>
            </w:tblGrid>
            <w:tr w:rsidR="001F36AE" w:rsidRPr="00470227" w:rsidTr="0059490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404" w:type="dxa"/>
                  <w:gridSpan w:val="2"/>
                </w:tcPr>
                <w:p w:rsidR="001F36AE" w:rsidRPr="00470227" w:rsidRDefault="001F36AE" w:rsidP="0059490D">
                  <w:pPr>
                    <w:rPr>
                      <w:rFonts w:eastAsia="Times New Roman" w:cs="Times New Roman"/>
                      <w:b/>
                      <w:lang w:val="ru-RU"/>
                    </w:rPr>
                  </w:pPr>
                  <w:r w:rsidRPr="00470227">
                    <w:rPr>
                      <w:rFonts w:eastAsia="Times New Roman" w:cs="Times New Roman"/>
                      <w:b/>
                      <w:lang w:val="ru-RU"/>
                    </w:rPr>
                    <w:lastRenderedPageBreak/>
                    <w:t>14.ОСНОВНИ ПОДАЦИ  О ДОБАВЉАЧУ:</w:t>
                  </w:r>
                </w:p>
              </w:tc>
            </w:tr>
            <w:tr w:rsidR="001F36AE" w:rsidRPr="00470227" w:rsidTr="0059490D">
              <w:trPr>
                <w:trHeight w:val="118"/>
              </w:trPr>
              <w:tc>
                <w:tcPr>
                  <w:tcW w:w="3058" w:type="dxa"/>
                </w:tcPr>
                <w:p w:rsidR="001F36AE" w:rsidRPr="00470227" w:rsidRDefault="001F36AE" w:rsidP="0059490D">
                  <w:pPr>
                    <w:rPr>
                      <w:rFonts w:eastAsia="Times New Roman" w:cs="Times New Roman"/>
                      <w:lang w:val="sr-Cyrl-CS"/>
                    </w:rPr>
                  </w:pPr>
                  <w:proofErr w:type="spellStart"/>
                  <w:r w:rsidRPr="00470227">
                    <w:rPr>
                      <w:rFonts w:eastAsia="Times New Roman" w:cs="Times New Roman"/>
                    </w:rPr>
                    <w:t>Пословно</w:t>
                  </w:r>
                  <w:proofErr w:type="spellEnd"/>
                  <w:r w:rsidRPr="00470227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470227">
                    <w:rPr>
                      <w:rFonts w:eastAsia="Times New Roman" w:cs="Times New Roman"/>
                    </w:rPr>
                    <w:t>име</w:t>
                  </w:r>
                  <w:proofErr w:type="spellEnd"/>
                  <w:r w:rsidRPr="00470227">
                    <w:rPr>
                      <w:rFonts w:eastAsia="Times New Roman" w:cs="Times New Roman"/>
                    </w:rPr>
                    <w:t>:</w:t>
                  </w:r>
                </w:p>
              </w:tc>
              <w:tc>
                <w:tcPr>
                  <w:tcW w:w="6306" w:type="dxa"/>
                </w:tcPr>
                <w:p w:rsidR="001F36AE" w:rsidRPr="00470227" w:rsidRDefault="001F36AE" w:rsidP="0059490D">
                  <w:pPr>
                    <w:rPr>
                      <w:rFonts w:eastAsia="Times New Roman" w:cs="Times New Roman"/>
                      <w:lang w:val="sr-Cyrl-RS"/>
                    </w:rPr>
                  </w:pPr>
                  <w:r w:rsidRPr="00470227">
                    <w:rPr>
                      <w:rFonts w:eastAsia="Times New Roman" w:cs="Times New Roman"/>
                      <w:lang w:val="sr-Cyrl-RS"/>
                    </w:rPr>
                    <w:t xml:space="preserve"> </w:t>
                  </w:r>
                  <w:r w:rsidRPr="00470227">
                    <w:rPr>
                      <w:rFonts w:eastAsia="Times New Roman" w:cs="Times New Roman"/>
                      <w:b/>
                      <w:lang w:val="sr-Latn-RS"/>
                    </w:rPr>
                    <w:t xml:space="preserve">GDi Solutions </w:t>
                  </w:r>
                  <w:r w:rsidRPr="00470227">
                    <w:rPr>
                      <w:rFonts w:eastAsia="Times New Roman" w:cs="Times New Roman"/>
                      <w:b/>
                      <w:lang w:val="sr-Cyrl-RS"/>
                    </w:rPr>
                    <w:t xml:space="preserve">д.о.о. Београд </w:t>
                  </w:r>
                </w:p>
              </w:tc>
            </w:tr>
            <w:tr w:rsidR="001F36AE" w:rsidRPr="00470227" w:rsidTr="0059490D">
              <w:trPr>
                <w:trHeight w:val="343"/>
              </w:trPr>
              <w:tc>
                <w:tcPr>
                  <w:tcW w:w="3058" w:type="dxa"/>
                </w:tcPr>
                <w:p w:rsidR="001F36AE" w:rsidRPr="00470227" w:rsidRDefault="001F36AE" w:rsidP="0059490D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CS"/>
                    </w:rPr>
                    <w:t>Седиште:</w:t>
                  </w:r>
                </w:p>
              </w:tc>
              <w:tc>
                <w:tcPr>
                  <w:tcW w:w="6306" w:type="dxa"/>
                </w:tcPr>
                <w:p w:rsidR="001F36AE" w:rsidRPr="00470227" w:rsidRDefault="001F36AE" w:rsidP="0059490D">
                  <w:pPr>
                    <w:jc w:val="both"/>
                    <w:rPr>
                      <w:rFonts w:eastAsia="Calibri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RS"/>
                    </w:rPr>
                    <w:t xml:space="preserve"> </w:t>
                  </w:r>
                  <w:r w:rsidRPr="00470227">
                    <w:rPr>
                      <w:b/>
                      <w:lang w:val="sr-Cyrl-RS"/>
                    </w:rPr>
                    <w:t>11070 Београд, Булевар Михајла Пупина 165е/</w:t>
                  </w:r>
                  <w:r w:rsidRPr="00470227">
                    <w:rPr>
                      <w:b/>
                      <w:lang w:val="sr-Latn-RS"/>
                    </w:rPr>
                    <w:t>III</w:t>
                  </w:r>
                  <w:r w:rsidRPr="00470227">
                    <w:rPr>
                      <w:b/>
                      <w:lang w:val="sr-Cyrl-RS"/>
                    </w:rPr>
                    <w:t xml:space="preserve"> </w:t>
                  </w:r>
                  <w:r w:rsidRPr="00470227">
                    <w:rPr>
                      <w:rFonts w:eastAsia="Times New Roman" w:cs="Times New Roman"/>
                      <w:b/>
                      <w:lang w:val="sr-Cyrl-RS"/>
                    </w:rPr>
                    <w:t xml:space="preserve"> </w:t>
                  </w:r>
                </w:p>
              </w:tc>
            </w:tr>
            <w:tr w:rsidR="001F36AE" w:rsidRPr="00470227" w:rsidTr="0059490D">
              <w:tc>
                <w:tcPr>
                  <w:tcW w:w="3058" w:type="dxa"/>
                </w:tcPr>
                <w:p w:rsidR="001F36AE" w:rsidRPr="00470227" w:rsidRDefault="001F36AE" w:rsidP="0059490D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CS"/>
                    </w:rPr>
                    <w:t>Матични број:</w:t>
                  </w:r>
                </w:p>
              </w:tc>
              <w:tc>
                <w:tcPr>
                  <w:tcW w:w="6306" w:type="dxa"/>
                </w:tcPr>
                <w:p w:rsidR="001F36AE" w:rsidRPr="00470227" w:rsidRDefault="001F36AE" w:rsidP="0059490D">
                  <w:pPr>
                    <w:jc w:val="both"/>
                    <w:rPr>
                      <w:rFonts w:eastAsia="Times New Roman" w:cs="Arial"/>
                      <w:lang w:val="sr-Cyrl-RS"/>
                    </w:rPr>
                  </w:pPr>
                  <w:r w:rsidRPr="00470227">
                    <w:rPr>
                      <w:rFonts w:eastAsia="Times New Roman" w:cs="Arial"/>
                      <w:lang w:val="sr-Cyrl-RS"/>
                    </w:rPr>
                    <w:t xml:space="preserve"> </w:t>
                  </w:r>
                  <w:r w:rsidRPr="00470227">
                    <w:rPr>
                      <w:rFonts w:eastAsia="Times New Roman" w:cs="Times New Roman"/>
                      <w:lang w:val="sr-Cyrl-RS"/>
                    </w:rPr>
                    <w:t>17164082</w:t>
                  </w:r>
                  <w:r w:rsidRPr="00470227">
                    <w:rPr>
                      <w:rFonts w:eastAsia="Times New Roman" w:cs="Arial"/>
                      <w:lang w:val="sr-Cyrl-RS"/>
                    </w:rPr>
                    <w:t xml:space="preserve"> </w:t>
                  </w:r>
                </w:p>
              </w:tc>
            </w:tr>
            <w:tr w:rsidR="001F36AE" w:rsidRPr="00470227" w:rsidTr="0059490D">
              <w:tc>
                <w:tcPr>
                  <w:tcW w:w="3058" w:type="dxa"/>
                </w:tcPr>
                <w:p w:rsidR="001F36AE" w:rsidRPr="00470227" w:rsidRDefault="001F36AE" w:rsidP="0059490D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CS"/>
                    </w:rPr>
                    <w:t>ПИБ:</w:t>
                  </w:r>
                </w:p>
              </w:tc>
              <w:tc>
                <w:tcPr>
                  <w:tcW w:w="6306" w:type="dxa"/>
                </w:tcPr>
                <w:p w:rsidR="001F36AE" w:rsidRPr="00470227" w:rsidRDefault="001F36AE" w:rsidP="0059490D">
                  <w:pPr>
                    <w:jc w:val="both"/>
                    <w:rPr>
                      <w:rFonts w:eastAsia="Times New Roman" w:cs="Arial"/>
                      <w:lang w:val="sr-Cyrl-RS"/>
                    </w:rPr>
                  </w:pPr>
                  <w:r w:rsidRPr="00470227">
                    <w:rPr>
                      <w:rFonts w:eastAsia="Times New Roman" w:cs="Arial"/>
                      <w:lang w:val="sr-Cyrl-RS"/>
                    </w:rPr>
                    <w:t xml:space="preserve"> </w:t>
                  </w:r>
                  <w:r w:rsidRPr="00470227">
                    <w:rPr>
                      <w:rFonts w:eastAsia="Times New Roman" w:cs="Times New Roman"/>
                      <w:lang w:val="sr-Cyrl-RS"/>
                    </w:rPr>
                    <w:t>100249211</w:t>
                  </w:r>
                  <w:r w:rsidRPr="00470227">
                    <w:rPr>
                      <w:rFonts w:eastAsia="Times New Roman" w:cs="Arial"/>
                      <w:lang w:val="sr-Cyrl-RS"/>
                    </w:rPr>
                    <w:t xml:space="preserve"> </w:t>
                  </w:r>
                </w:p>
              </w:tc>
            </w:tr>
            <w:tr w:rsidR="001F36AE" w:rsidRPr="00470227" w:rsidTr="0059490D">
              <w:trPr>
                <w:trHeight w:val="45"/>
              </w:trPr>
              <w:tc>
                <w:tcPr>
                  <w:tcW w:w="3058" w:type="dxa"/>
                </w:tcPr>
                <w:p w:rsidR="001F36AE" w:rsidRPr="00470227" w:rsidRDefault="001F36AE" w:rsidP="0059490D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CS"/>
                    </w:rPr>
                    <w:t>Законски заступник:</w:t>
                  </w:r>
                </w:p>
              </w:tc>
              <w:tc>
                <w:tcPr>
                  <w:tcW w:w="6306" w:type="dxa"/>
                </w:tcPr>
                <w:p w:rsidR="001F36AE" w:rsidRPr="00470227" w:rsidRDefault="001F36AE" w:rsidP="0059490D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470227">
                    <w:rPr>
                      <w:rFonts w:eastAsia="Times New Roman" w:cs="Times New Roman"/>
                      <w:lang w:val="sr-Cyrl-CS"/>
                    </w:rPr>
                    <w:t xml:space="preserve"> </w:t>
                  </w:r>
                  <w:r w:rsidRPr="00470227">
                    <w:rPr>
                      <w:rFonts w:eastAsia="Times New Roman" w:cs="Times New Roman"/>
                      <w:lang w:val="sr-Cyrl-RS"/>
                    </w:rPr>
                    <w:t>Нинослав Митрић</w:t>
                  </w:r>
                </w:p>
              </w:tc>
            </w:tr>
          </w:tbl>
          <w:p w:rsidR="001F36AE" w:rsidRPr="00470227" w:rsidRDefault="001F36AE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1F36AE" w:rsidRPr="00470227" w:rsidRDefault="001F36AE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F36AE" w:rsidRPr="00470227" w:rsidTr="0059490D">
        <w:trPr>
          <w:gridBefore w:val="1"/>
          <w:gridAfter w:val="1"/>
          <w:wBefore w:w="20" w:type="dxa"/>
          <w:wAfter w:w="20" w:type="dxa"/>
          <w:trHeight w:hRule="exact" w:val="713"/>
        </w:trPr>
        <w:tc>
          <w:tcPr>
            <w:tcW w:w="9872" w:type="dxa"/>
            <w:gridSpan w:val="2"/>
          </w:tcPr>
          <w:p w:rsidR="001F36AE" w:rsidRPr="00470227" w:rsidRDefault="001F36AE" w:rsidP="0059490D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15.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proofErr w:type="spellEnd"/>
            <w:r w:rsidRPr="00470227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1F36AE" w:rsidRPr="00E0114B" w:rsidRDefault="001F36AE" w:rsidP="001F36AE">
            <w:pPr>
              <w:spacing w:after="0" w:line="240" w:lineRule="exact"/>
              <w:jc w:val="both"/>
              <w:rPr>
                <w:rFonts w:eastAsia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Добављач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се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обавезује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да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лиценцу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за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Геопортал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чија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набавка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је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предмет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овог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уговора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испоручи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инсталира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року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од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 10 </w:t>
            </w:r>
            <w:proofErr w:type="gramStart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(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десет</w:t>
            </w:r>
            <w:proofErr w:type="spellEnd"/>
            <w:proofErr w:type="gram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радних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дана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рачунајући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од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дана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закључења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114B">
              <w:rPr>
                <w:rFonts w:eastAsia="Times New Roman" w:cs="Times New Roman"/>
                <w:sz w:val="20"/>
                <w:szCs w:val="20"/>
              </w:rPr>
              <w:t>уговора</w:t>
            </w:r>
            <w:proofErr w:type="spellEnd"/>
            <w:r w:rsidRPr="00E0114B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1F36AE" w:rsidRPr="00470227" w:rsidRDefault="001F36AE" w:rsidP="001F36AE">
            <w:pPr>
              <w:widowControl w:val="0"/>
              <w:spacing w:after="0" w:line="236" w:lineRule="exact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/>
          </w:tcPr>
          <w:p w:rsidR="001F36AE" w:rsidRPr="00470227" w:rsidRDefault="001F36AE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F36AE" w:rsidRPr="00470227" w:rsidTr="0059490D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2"/>
          </w:tcPr>
          <w:p w:rsidR="001F36AE" w:rsidRPr="00470227" w:rsidRDefault="001F36AE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16.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proofErr w:type="spellEnd"/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proofErr w:type="spellEnd"/>
            <w:r w:rsidRPr="00470227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1F36AE" w:rsidRPr="00470227" w:rsidRDefault="001F36AE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F36AE" w:rsidRPr="00470227" w:rsidTr="0059490D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2"/>
          </w:tcPr>
          <w:p w:rsidR="001F36AE" w:rsidRPr="00470227" w:rsidRDefault="001F36AE" w:rsidP="0059490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470227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17.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proofErr w:type="spellEnd"/>
            <w:r w:rsidRPr="00470227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470227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470227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470227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470227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470227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470227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 w:rsidRPr="00470227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1F36AE" w:rsidRPr="00470227" w:rsidRDefault="001F36AE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1F36AE" w:rsidRPr="00470227" w:rsidRDefault="001F36AE" w:rsidP="001F36AE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1F36AE" w:rsidRPr="00470227" w:rsidRDefault="001F36AE" w:rsidP="001F36AE">
      <w:pPr>
        <w:rPr>
          <w:sz w:val="20"/>
          <w:szCs w:val="20"/>
        </w:rPr>
      </w:pPr>
    </w:p>
    <w:p w:rsidR="001F36AE" w:rsidRPr="00470227" w:rsidRDefault="001F36AE" w:rsidP="001F36AE">
      <w:pPr>
        <w:rPr>
          <w:sz w:val="20"/>
          <w:szCs w:val="20"/>
        </w:rPr>
      </w:pPr>
    </w:p>
    <w:p w:rsidR="001F36AE" w:rsidRPr="00470227" w:rsidRDefault="001F36AE" w:rsidP="001F36AE">
      <w:pPr>
        <w:rPr>
          <w:sz w:val="20"/>
          <w:szCs w:val="20"/>
        </w:rPr>
      </w:pPr>
    </w:p>
    <w:p w:rsidR="001F36AE" w:rsidRPr="00470227" w:rsidRDefault="001F36AE" w:rsidP="001F36AE">
      <w:pPr>
        <w:rPr>
          <w:sz w:val="20"/>
          <w:szCs w:val="20"/>
        </w:rPr>
      </w:pPr>
    </w:p>
    <w:p w:rsidR="001F36AE" w:rsidRPr="00470227" w:rsidRDefault="001F36AE" w:rsidP="001F36AE">
      <w:pPr>
        <w:rPr>
          <w:sz w:val="20"/>
          <w:szCs w:val="20"/>
        </w:rPr>
      </w:pPr>
    </w:p>
    <w:p w:rsidR="001F36AE" w:rsidRPr="00470227" w:rsidRDefault="001F36AE" w:rsidP="001F36AE">
      <w:pPr>
        <w:rPr>
          <w:sz w:val="20"/>
          <w:szCs w:val="20"/>
        </w:rPr>
      </w:pPr>
    </w:p>
    <w:p w:rsidR="001F36AE" w:rsidRPr="00470227" w:rsidRDefault="001F36AE" w:rsidP="001F36AE">
      <w:pPr>
        <w:rPr>
          <w:sz w:val="20"/>
          <w:szCs w:val="20"/>
        </w:rPr>
      </w:pPr>
    </w:p>
    <w:p w:rsidR="001F36AE" w:rsidRPr="00470227" w:rsidRDefault="001F36AE" w:rsidP="001F36AE">
      <w:pPr>
        <w:rPr>
          <w:sz w:val="20"/>
          <w:szCs w:val="20"/>
        </w:rPr>
      </w:pPr>
    </w:p>
    <w:p w:rsidR="00032087" w:rsidRDefault="00032087"/>
    <w:sectPr w:rsidR="00032087" w:rsidSect="00A7086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AE"/>
    <w:rsid w:val="00032087"/>
    <w:rsid w:val="001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1F36AE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1F36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36AE"/>
    <w:rPr>
      <w:color w:val="0000FF" w:themeColor="hyperlink"/>
      <w:u w:val="single"/>
    </w:rPr>
  </w:style>
  <w:style w:type="table" w:styleId="TableWeb3">
    <w:name w:val="Table Web 3"/>
    <w:basedOn w:val="TableNormal"/>
    <w:uiPriority w:val="99"/>
    <w:semiHidden/>
    <w:unhideWhenUsed/>
    <w:rsid w:val="001F36A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1F36AE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1F36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36AE"/>
    <w:rPr>
      <w:color w:val="0000FF" w:themeColor="hyperlink"/>
      <w:u w:val="single"/>
    </w:rPr>
  </w:style>
  <w:style w:type="table" w:styleId="TableWeb3">
    <w:name w:val="Table Web 3"/>
    <w:basedOn w:val="TableNormal"/>
    <w:uiPriority w:val="99"/>
    <w:semiHidden/>
    <w:unhideWhenUsed/>
    <w:rsid w:val="001F36A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urb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</cp:revision>
  <dcterms:created xsi:type="dcterms:W3CDTF">2017-07-24T12:26:00Z</dcterms:created>
  <dcterms:modified xsi:type="dcterms:W3CDTF">2017-07-24T12:34:00Z</dcterms:modified>
</cp:coreProperties>
</file>