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EB47ED" w:rsidRPr="00EB47ED" w:rsidTr="00EB47ED">
        <w:trPr>
          <w:tblCellSpacing w:w="15" w:type="dxa"/>
        </w:trPr>
        <w:tc>
          <w:tcPr>
            <w:tcW w:w="0" w:type="auto"/>
            <w:shd w:val="clear" w:color="auto" w:fill="A41E1C"/>
            <w:vAlign w:val="center"/>
            <w:hideMark/>
          </w:tcPr>
          <w:p w:rsidR="00EB47ED" w:rsidRPr="00EB47ED" w:rsidRDefault="00EB47ED" w:rsidP="00EB47ED">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EB47ED">
              <w:rPr>
                <w:rFonts w:ascii="Arial" w:eastAsia="Times New Roman" w:hAnsi="Arial" w:cs="Arial"/>
                <w:b/>
                <w:bCs/>
                <w:color w:val="FFE8BF"/>
                <w:sz w:val="36"/>
                <w:szCs w:val="36"/>
                <w:lang w:eastAsia="sr-Latn-RS"/>
              </w:rPr>
              <w:t>UREDBA</w:t>
            </w:r>
          </w:p>
          <w:p w:rsidR="00EB47ED" w:rsidRPr="00EB47ED" w:rsidRDefault="00EB47ED" w:rsidP="00EB47ED">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r w:rsidRPr="00EB47ED">
              <w:rPr>
                <w:rFonts w:ascii="Arial" w:eastAsia="Times New Roman" w:hAnsi="Arial" w:cs="Arial"/>
                <w:b/>
                <w:bCs/>
                <w:color w:val="FFFFFF"/>
                <w:sz w:val="34"/>
                <w:szCs w:val="34"/>
                <w:lang w:eastAsia="sr-Latn-RS"/>
              </w:rPr>
              <w:t>O GRANIČNIM VREDNOSTIMA EMISIJA ZAGAĐUJUĆIH MATERIJA U VAZDUH IZ STACIONARNIH IZVORA ZAGAĐIVANJA, OSIM POSTROJENJA ZA SAGOREVANJE</w:t>
            </w:r>
          </w:p>
          <w:p w:rsidR="00EB47ED" w:rsidRPr="00EB47ED" w:rsidRDefault="00EB47ED" w:rsidP="00EB47ED">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EB47ED">
              <w:rPr>
                <w:rFonts w:ascii="Arial" w:eastAsia="Times New Roman" w:hAnsi="Arial" w:cs="Arial"/>
                <w:i/>
                <w:iCs/>
                <w:color w:val="FFE8BF"/>
                <w:sz w:val="26"/>
                <w:szCs w:val="26"/>
                <w:lang w:eastAsia="sr-Latn-RS"/>
              </w:rPr>
              <w:t>("Sl. glasnik RS", br. 111/2015)</w:t>
            </w:r>
          </w:p>
        </w:tc>
      </w:tr>
    </w:tbl>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0" w:name="str_1"/>
      <w:bookmarkEnd w:id="0"/>
      <w:r w:rsidRPr="00EB47ED">
        <w:rPr>
          <w:rFonts w:ascii="Arial" w:eastAsia="Times New Roman" w:hAnsi="Arial" w:cs="Arial"/>
          <w:sz w:val="31"/>
          <w:szCs w:val="31"/>
          <w:lang w:eastAsia="sr-Latn-RS"/>
        </w:rPr>
        <w:t xml:space="preserve">I UVODNE ODREDBE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 w:name="str_2"/>
      <w:bookmarkEnd w:id="1"/>
      <w:r w:rsidRPr="00EB47ED">
        <w:rPr>
          <w:rFonts w:ascii="Arial" w:eastAsia="Times New Roman" w:hAnsi="Arial" w:cs="Arial"/>
          <w:b/>
          <w:bCs/>
          <w:sz w:val="24"/>
          <w:szCs w:val="24"/>
          <w:lang w:eastAsia="sr-Latn-RS"/>
        </w:rPr>
        <w:t xml:space="preserve">Predmet uređivanja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2" w:name="clan_1"/>
      <w:bookmarkEnd w:id="2"/>
      <w:r w:rsidRPr="00EB47ED">
        <w:rPr>
          <w:rFonts w:ascii="Arial" w:eastAsia="Times New Roman" w:hAnsi="Arial" w:cs="Arial"/>
          <w:b/>
          <w:bCs/>
          <w:sz w:val="24"/>
          <w:szCs w:val="24"/>
          <w:lang w:eastAsia="sr-Latn-RS"/>
        </w:rPr>
        <w:t xml:space="preserve">Član 1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Ovom uredbom propisuju se: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granične vrednosti emisije zagađujućih materija u vazduh iz stacionarnih izvora zagađivanja, osim postrojenja za sagorevanje;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sadržaj izveštaja o bilansu emisije;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način dostavljanja podataka o emisijama za potrebe informacionog sistema i rokovi dostavljanja podataka.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Odredbe ove uredbe ne primenjuju se na procese termičkog tretmana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Odredbe ove uredbe ne primenjuju se na aktivnosti i instalacije koje koriste isparljiva organska jedinjenja.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3" w:name="clan_2"/>
      <w:bookmarkEnd w:id="3"/>
      <w:r w:rsidRPr="00EB47ED">
        <w:rPr>
          <w:rFonts w:ascii="Arial" w:eastAsia="Times New Roman" w:hAnsi="Arial" w:cs="Arial"/>
          <w:b/>
          <w:bCs/>
          <w:sz w:val="24"/>
          <w:szCs w:val="24"/>
          <w:lang w:eastAsia="sr-Latn-RS"/>
        </w:rPr>
        <w:t xml:space="preserve">Član 2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Stacionarni izvori zagađivanja, u smislu ove uredbe, jesu industrijski pogoni, tehnološki procesi, određene aktivnosti i uređaji iz kojih se zagađujuće materije ispuštaju u vazduh.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4" w:name="str_3"/>
      <w:bookmarkEnd w:id="4"/>
      <w:r w:rsidRPr="00EB47ED">
        <w:rPr>
          <w:rFonts w:ascii="Arial" w:eastAsia="Times New Roman" w:hAnsi="Arial" w:cs="Arial"/>
          <w:b/>
          <w:bCs/>
          <w:sz w:val="24"/>
          <w:szCs w:val="24"/>
          <w:lang w:eastAsia="sr-Latn-RS"/>
        </w:rPr>
        <w:t xml:space="preserve">Merenje emisije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5" w:name="clan_3"/>
      <w:bookmarkEnd w:id="5"/>
      <w:r w:rsidRPr="00EB47ED">
        <w:rPr>
          <w:rFonts w:ascii="Arial" w:eastAsia="Times New Roman" w:hAnsi="Arial" w:cs="Arial"/>
          <w:b/>
          <w:bCs/>
          <w:sz w:val="24"/>
          <w:szCs w:val="24"/>
          <w:lang w:eastAsia="sr-Latn-RS"/>
        </w:rPr>
        <w:t xml:space="preserve">Član 3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Emisija zagađujućih materija u vazduh iz stacionarnog izvora zagađivanja utvrđuje se merenjem i/ili izračunavanjem emisionih parametara na osnovu rezultata merenja.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Merenje emisije zagađujućih materija iz stacionarnih izvora zagađivanja vrši se u skladu sa odredbama propisa kojim se uređuju merenja emisija zagađujućih materija u vazduh iz stacionarnih izvora zagađivanja.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 w:name="str_4"/>
      <w:bookmarkEnd w:id="6"/>
      <w:r w:rsidRPr="00EB47ED">
        <w:rPr>
          <w:rFonts w:ascii="Arial" w:eastAsia="Times New Roman" w:hAnsi="Arial" w:cs="Arial"/>
          <w:b/>
          <w:bCs/>
          <w:sz w:val="24"/>
          <w:szCs w:val="24"/>
          <w:lang w:eastAsia="sr-Latn-RS"/>
        </w:rPr>
        <w:t xml:space="preserve">Značenje izraza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7" w:name="clan_4"/>
      <w:bookmarkEnd w:id="7"/>
      <w:r w:rsidRPr="00EB47ED">
        <w:rPr>
          <w:rFonts w:ascii="Arial" w:eastAsia="Times New Roman" w:hAnsi="Arial" w:cs="Arial"/>
          <w:b/>
          <w:bCs/>
          <w:sz w:val="24"/>
          <w:szCs w:val="24"/>
          <w:lang w:eastAsia="sr-Latn-RS"/>
        </w:rPr>
        <w:t xml:space="preserve">Član 4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Pojedini izrazi upotrebljeni u ovoj uredbi imaju sledeće značenje: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w:t>
      </w:r>
      <w:r w:rsidRPr="00EB47ED">
        <w:rPr>
          <w:rFonts w:ascii="Arial" w:eastAsia="Times New Roman" w:hAnsi="Arial" w:cs="Arial"/>
          <w:i/>
          <w:iCs/>
          <w:lang w:eastAsia="sr-Latn-RS"/>
        </w:rPr>
        <w:t>emisija</w:t>
      </w:r>
      <w:r w:rsidRPr="00EB47ED">
        <w:rPr>
          <w:rFonts w:ascii="Arial" w:eastAsia="Times New Roman" w:hAnsi="Arial" w:cs="Arial"/>
          <w:lang w:eastAsia="sr-Latn-RS"/>
        </w:rPr>
        <w:t xml:space="preserve"> je ispuštanje zagađujućih materija u gasovitom, tečnom ili čvrstom agregatnom stanju iz stacionarnog izvora zagađivanja u vazduh;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w:t>
      </w:r>
      <w:r w:rsidRPr="00EB47ED">
        <w:rPr>
          <w:rFonts w:ascii="Arial" w:eastAsia="Times New Roman" w:hAnsi="Arial" w:cs="Arial"/>
          <w:i/>
          <w:iCs/>
          <w:lang w:eastAsia="sr-Latn-RS"/>
        </w:rPr>
        <w:t>otpadni gasovi</w:t>
      </w:r>
      <w:r w:rsidRPr="00EB47ED">
        <w:rPr>
          <w:rFonts w:ascii="Arial" w:eastAsia="Times New Roman" w:hAnsi="Arial" w:cs="Arial"/>
          <w:lang w:eastAsia="sr-Latn-RS"/>
        </w:rPr>
        <w:t xml:space="preserve"> su gasovi ispušteni u vazduh koji sadrže zagađujuće materije u čvrstom, tečnom ili gasovitom stanju;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w:t>
      </w:r>
      <w:r w:rsidRPr="00EB47ED">
        <w:rPr>
          <w:rFonts w:ascii="Arial" w:eastAsia="Times New Roman" w:hAnsi="Arial" w:cs="Arial"/>
          <w:i/>
          <w:iCs/>
          <w:lang w:eastAsia="sr-Latn-RS"/>
        </w:rPr>
        <w:t>granična vrednost emisije (GVE)</w:t>
      </w:r>
      <w:r w:rsidRPr="00EB47ED">
        <w:rPr>
          <w:rFonts w:ascii="Arial" w:eastAsia="Times New Roman" w:hAnsi="Arial" w:cs="Arial"/>
          <w:lang w:eastAsia="sr-Latn-RS"/>
        </w:rPr>
        <w:t xml:space="preserve"> je maksimalno dozvoljena vrednost koncentracije zagađujuće materije u otpadnim gasovima iz stacionarnog izvora zagađenja koja može biti ispuštena u vazduh;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 </w:t>
      </w:r>
      <w:r w:rsidRPr="00EB47ED">
        <w:rPr>
          <w:rFonts w:ascii="Arial" w:eastAsia="Times New Roman" w:hAnsi="Arial" w:cs="Arial"/>
          <w:i/>
          <w:iCs/>
          <w:lang w:eastAsia="sr-Latn-RS"/>
        </w:rPr>
        <w:t>tačkasti izvor (emiter)</w:t>
      </w:r>
      <w:r w:rsidRPr="00EB47ED">
        <w:rPr>
          <w:rFonts w:ascii="Arial" w:eastAsia="Times New Roman" w:hAnsi="Arial" w:cs="Arial"/>
          <w:lang w:eastAsia="sr-Latn-RS"/>
        </w:rPr>
        <w:t xml:space="preserve"> predstavlja izvor zagađivanja kod koga se zagađujuće materije ispuštaju u vazduh kroz za to posebno definisane ispuste (dimnjak, cev);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 </w:t>
      </w:r>
      <w:r w:rsidRPr="00EB47ED">
        <w:rPr>
          <w:rFonts w:ascii="Arial" w:eastAsia="Times New Roman" w:hAnsi="Arial" w:cs="Arial"/>
          <w:i/>
          <w:iCs/>
          <w:lang w:eastAsia="sr-Latn-RS"/>
        </w:rPr>
        <w:t>emisioni parametri</w:t>
      </w:r>
      <w:r w:rsidRPr="00EB47ED">
        <w:rPr>
          <w:rFonts w:ascii="Arial" w:eastAsia="Times New Roman" w:hAnsi="Arial" w:cs="Arial"/>
          <w:lang w:eastAsia="sr-Latn-RS"/>
        </w:rPr>
        <w:t xml:space="preserve"> su masena koncentracija, maseni protok i emisioni faktor: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r w:rsidRPr="00EB47ED">
        <w:rPr>
          <w:rFonts w:ascii="Arial" w:eastAsia="Times New Roman" w:hAnsi="Arial" w:cs="Arial"/>
          <w:i/>
          <w:iCs/>
          <w:lang w:eastAsia="sr-Latn-RS"/>
        </w:rPr>
        <w:t>masena koncentracija</w:t>
      </w:r>
      <w:r w:rsidRPr="00EB47ED">
        <w:rPr>
          <w:rFonts w:ascii="Arial" w:eastAsia="Times New Roman" w:hAnsi="Arial" w:cs="Arial"/>
          <w:lang w:eastAsia="sr-Latn-RS"/>
        </w:rPr>
        <w:t xml:space="preserve"> (izražena u jedinici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je masa emitovanih zagađujućih materija u odnosu na jedinicu zapremine u suvom otpadnom gasu na temperaturi 0 °C (273,15 K) i pritisku 101,3 kPa pod propisanim zapreminskim udelom kiseonika u otpadnom gasu,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r w:rsidRPr="00EB47ED">
        <w:rPr>
          <w:rFonts w:ascii="Arial" w:eastAsia="Times New Roman" w:hAnsi="Arial" w:cs="Arial"/>
          <w:i/>
          <w:iCs/>
          <w:lang w:eastAsia="sr-Latn-RS"/>
        </w:rPr>
        <w:t>maseni protok</w:t>
      </w:r>
      <w:r w:rsidRPr="00EB47ED">
        <w:rPr>
          <w:rFonts w:ascii="Arial" w:eastAsia="Times New Roman" w:hAnsi="Arial" w:cs="Arial"/>
          <w:lang w:eastAsia="sr-Latn-RS"/>
        </w:rPr>
        <w:t xml:space="preserve"> (izražen u jedinici kg/h) je masa emitovanih zagađujućih materija u jedinici vremena,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r w:rsidRPr="00EB47ED">
        <w:rPr>
          <w:rFonts w:ascii="Arial" w:eastAsia="Times New Roman" w:hAnsi="Arial" w:cs="Arial"/>
          <w:i/>
          <w:iCs/>
          <w:lang w:eastAsia="sr-Latn-RS"/>
        </w:rPr>
        <w:t>emisioni faktor</w:t>
      </w:r>
      <w:r w:rsidRPr="00EB47ED">
        <w:rPr>
          <w:rFonts w:ascii="Arial" w:eastAsia="Times New Roman" w:hAnsi="Arial" w:cs="Arial"/>
          <w:lang w:eastAsia="sr-Latn-RS"/>
        </w:rPr>
        <w:t xml:space="preserve"> (izražen u jedinici kg/t ili u jedinici kg/MWh) je masa emitovanih zagađujućih materija u odnosu na masu proizvedenog produkta ili jedinicu proizvedene energije tj. masa emitovane zagađujuće materije po jedinici delatnosti (iskazane količinom proizvoda, iznosom (vrednošću) proizvedene energije, količinom potrošenog energenta ili sirovine ili veličinom obavljenog posla);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 </w:t>
      </w:r>
      <w:r w:rsidRPr="00EB47ED">
        <w:rPr>
          <w:rFonts w:ascii="Arial" w:eastAsia="Times New Roman" w:hAnsi="Arial" w:cs="Arial"/>
          <w:i/>
          <w:iCs/>
          <w:lang w:eastAsia="sr-Latn-RS"/>
        </w:rPr>
        <w:t>radni časovi</w:t>
      </w:r>
      <w:r w:rsidRPr="00EB47ED">
        <w:rPr>
          <w:rFonts w:ascii="Arial" w:eastAsia="Times New Roman" w:hAnsi="Arial" w:cs="Arial"/>
          <w:lang w:eastAsia="sr-Latn-RS"/>
        </w:rPr>
        <w:t xml:space="preserve"> predstavljaju vreme, izraženo u časovima, tokom kojeg se ispuštaju zagađujuće materije iz stacionarnog izvora zagađivanja u vazduh u radu, osim perioda pokretanja i zaustavljanja stacionarnog izvora;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 </w:t>
      </w:r>
      <w:r w:rsidRPr="00EB47ED">
        <w:rPr>
          <w:rFonts w:ascii="Arial" w:eastAsia="Times New Roman" w:hAnsi="Arial" w:cs="Arial"/>
          <w:i/>
          <w:iCs/>
          <w:lang w:eastAsia="sr-Latn-RS"/>
        </w:rPr>
        <w:t>novi stacionarni izvor zagađivanja</w:t>
      </w:r>
      <w:r w:rsidRPr="00EB47ED">
        <w:rPr>
          <w:rFonts w:ascii="Arial" w:eastAsia="Times New Roman" w:hAnsi="Arial" w:cs="Arial"/>
          <w:lang w:eastAsia="sr-Latn-RS"/>
        </w:rPr>
        <w:t xml:space="preserve"> je stacionarni izvor koji poseduje upotrebnu dozvolu izdatu posle dana stupanja na snagu ove uredbe a u nedostatku upotrebne dozvole građevinsku dozvolu ili koji je pušten u rad posle dana stupanja na snagu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 </w:t>
      </w:r>
      <w:r w:rsidRPr="00EB47ED">
        <w:rPr>
          <w:rFonts w:ascii="Arial" w:eastAsia="Times New Roman" w:hAnsi="Arial" w:cs="Arial"/>
          <w:i/>
          <w:iCs/>
          <w:lang w:eastAsia="sr-Latn-RS"/>
        </w:rPr>
        <w:t>postojeći stacionarni izvor zagađivanja</w:t>
      </w:r>
      <w:r w:rsidRPr="00EB47ED">
        <w:rPr>
          <w:rFonts w:ascii="Arial" w:eastAsia="Times New Roman" w:hAnsi="Arial" w:cs="Arial"/>
          <w:lang w:eastAsia="sr-Latn-RS"/>
        </w:rPr>
        <w:t xml:space="preserve"> je stacionarni izvor koji poseduje upotrebnu dozvolu izdatu pre dana stupanja na snagu ove uredbe a u nedostatku upotrebne dozvole građevinsku dozvolu ili koji je pušten u rad pre dana stupanja na snagu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 </w:t>
      </w:r>
      <w:r w:rsidRPr="00EB47ED">
        <w:rPr>
          <w:rFonts w:ascii="Arial" w:eastAsia="Times New Roman" w:hAnsi="Arial" w:cs="Arial"/>
          <w:i/>
          <w:iCs/>
          <w:lang w:eastAsia="sr-Latn-RS"/>
        </w:rPr>
        <w:t>tehnološki proces</w:t>
      </w:r>
      <w:r w:rsidRPr="00EB47ED">
        <w:rPr>
          <w:rFonts w:ascii="Arial" w:eastAsia="Times New Roman" w:hAnsi="Arial" w:cs="Arial"/>
          <w:lang w:eastAsia="sr-Latn-RS"/>
        </w:rPr>
        <w:t xml:space="preserve"> je skup postupaka kojima se iz određenih polaznih sirovina i aditiva dobija jedan ili više sličnih proizvoda;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 </w:t>
      </w:r>
      <w:r w:rsidRPr="00EB47ED">
        <w:rPr>
          <w:rFonts w:ascii="Arial" w:eastAsia="Times New Roman" w:hAnsi="Arial" w:cs="Arial"/>
          <w:i/>
          <w:iCs/>
          <w:lang w:eastAsia="sr-Latn-RS"/>
        </w:rPr>
        <w:t>klasa opasnosti</w:t>
      </w:r>
      <w:r w:rsidRPr="00EB47ED">
        <w:rPr>
          <w:rFonts w:ascii="Arial" w:eastAsia="Times New Roman" w:hAnsi="Arial" w:cs="Arial"/>
          <w:lang w:eastAsia="sr-Latn-RS"/>
        </w:rPr>
        <w:t xml:space="preserve"> je klasa određena na osnovu fizičko-hemijskih i toksikoloških karakteristika zagađujućih materija utvrđena u Prilogu 2.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 </w:t>
      </w:r>
      <w:r w:rsidRPr="00EB47ED">
        <w:rPr>
          <w:rFonts w:ascii="Arial" w:eastAsia="Times New Roman" w:hAnsi="Arial" w:cs="Arial"/>
          <w:i/>
          <w:iCs/>
          <w:lang w:eastAsia="sr-Latn-RS"/>
        </w:rPr>
        <w:t>AOT 40</w:t>
      </w:r>
      <w:r w:rsidRPr="00EB47ED">
        <w:rPr>
          <w:rFonts w:ascii="Arial" w:eastAsia="Times New Roman" w:hAnsi="Arial" w:cs="Arial"/>
          <w:lang w:eastAsia="sr-Latn-RS"/>
        </w:rPr>
        <w:t xml:space="preserve"> (izražena u µg/m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x sati) je suma razlike između jednočasovnih koncentracija prizemnog ozona većih od 80 µg/m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 40 ppb - delova u milijardi) i 80 µg/m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u toku određenog vremenskog perioda izračunata na osnovu jednočasovnih vrednosti merenih između 8.00 i 20.00 časova po centralnoevropskom vremenu svakog dana;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12) </w:t>
      </w:r>
      <w:r w:rsidRPr="00EB47ED">
        <w:rPr>
          <w:rFonts w:ascii="Arial" w:eastAsia="Times New Roman" w:hAnsi="Arial" w:cs="Arial"/>
          <w:i/>
          <w:iCs/>
          <w:lang w:eastAsia="sr-Latn-RS"/>
        </w:rPr>
        <w:t>AOT 60</w:t>
      </w:r>
      <w:r w:rsidRPr="00EB47ED">
        <w:rPr>
          <w:rFonts w:ascii="Arial" w:eastAsia="Times New Roman" w:hAnsi="Arial" w:cs="Arial"/>
          <w:lang w:eastAsia="sr-Latn-RS"/>
        </w:rPr>
        <w:t xml:space="preserve"> je suma razlike između jednočasovnih koncentracija prizemnog ozona većih od 120 µg/m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 60 ppb - delova u milijardi) i 120 µg/m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računata u toku godine;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 </w:t>
      </w:r>
      <w:r w:rsidRPr="00EB47ED">
        <w:rPr>
          <w:rFonts w:ascii="Arial" w:eastAsia="Times New Roman" w:hAnsi="Arial" w:cs="Arial"/>
          <w:i/>
          <w:iCs/>
          <w:lang w:eastAsia="sr-Latn-RS"/>
        </w:rPr>
        <w:t>kritični nivo</w:t>
      </w:r>
      <w:r w:rsidRPr="00EB47ED">
        <w:rPr>
          <w:rFonts w:ascii="Arial" w:eastAsia="Times New Roman" w:hAnsi="Arial" w:cs="Arial"/>
          <w:lang w:eastAsia="sr-Latn-RS"/>
        </w:rPr>
        <w:t xml:space="preserve"> je koncentracija zagađujućih materija u vazduhu iznad koje se, prema postojećim saznanjima, mogu javiti direktni štetni uticaji na receptore kao što su ljudi, biljke, ekosistemi ili materijali;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14) </w:t>
      </w:r>
      <w:r w:rsidRPr="00EB47ED">
        <w:rPr>
          <w:rFonts w:ascii="Arial" w:eastAsia="Times New Roman" w:hAnsi="Arial" w:cs="Arial"/>
          <w:i/>
          <w:iCs/>
          <w:lang w:eastAsia="sr-Latn-RS"/>
        </w:rPr>
        <w:t>kritično opterećenje</w:t>
      </w:r>
      <w:r w:rsidRPr="00EB47ED">
        <w:rPr>
          <w:rFonts w:ascii="Arial" w:eastAsia="Times New Roman" w:hAnsi="Arial" w:cs="Arial"/>
          <w:lang w:eastAsia="sr-Latn-RS"/>
        </w:rPr>
        <w:t xml:space="preserve"> je kvantitativna procena izloženosti jednoj ili više zagađujućih materija ispod koje se, prema postojećim saznanjima, ne javljaju značajni štetni uticaji na određene osetljive elemente životne sredine;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15) </w:t>
      </w:r>
      <w:r w:rsidRPr="00EB47ED">
        <w:rPr>
          <w:rFonts w:ascii="Arial" w:eastAsia="Times New Roman" w:hAnsi="Arial" w:cs="Arial"/>
          <w:i/>
          <w:iCs/>
          <w:lang w:eastAsia="sr-Latn-RS"/>
        </w:rPr>
        <w:t>prostorna mreža (grid cell)</w:t>
      </w:r>
      <w:r w:rsidRPr="00EB47ED">
        <w:rPr>
          <w:rFonts w:ascii="Arial" w:eastAsia="Times New Roman" w:hAnsi="Arial" w:cs="Arial"/>
          <w:b/>
          <w:bCs/>
          <w:lang w:eastAsia="sr-Latn-RS"/>
        </w:rPr>
        <w:t xml:space="preserve"> </w:t>
      </w:r>
      <w:r w:rsidRPr="00EB47ED">
        <w:rPr>
          <w:rFonts w:ascii="Arial" w:eastAsia="Times New Roman" w:hAnsi="Arial" w:cs="Arial"/>
          <w:lang w:eastAsia="sr-Latn-RS"/>
        </w:rPr>
        <w:t>je mreža kvadrata 150 km x 150 km koja se koristi pri mapiranju kritičnih opterećenja na evropskom nivou i pri praćenju emisija i taloženja zagađujućih materija iz vazduha u skladu sa Programom saradnje za praćenje i procenu prekograničnog prenosa zagađujućih materija u vazduhu na velike udaljenosti u Evropi (</w:t>
      </w:r>
      <w:r w:rsidRPr="00EB47ED">
        <w:rPr>
          <w:rFonts w:ascii="Arial" w:eastAsia="Times New Roman" w:hAnsi="Arial" w:cs="Arial"/>
          <w:i/>
          <w:iCs/>
          <w:lang w:eastAsia="sr-Latn-RS"/>
        </w:rPr>
        <w:t>Cooperative Programme for Monitoring and Evaluation of the long-range Transmission of Air Pollutants in Europe</w:t>
      </w:r>
      <w:r w:rsidRPr="00EB47ED">
        <w:rPr>
          <w:rFonts w:ascii="Arial" w:eastAsia="Times New Roman" w:hAnsi="Arial" w:cs="Arial"/>
          <w:lang w:eastAsia="sr-Latn-RS"/>
        </w:rPr>
        <w:t xml:space="preserve"> - EMEP);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16) </w:t>
      </w:r>
      <w:r w:rsidRPr="00EB47ED">
        <w:rPr>
          <w:rFonts w:ascii="Arial" w:eastAsia="Times New Roman" w:hAnsi="Arial" w:cs="Arial"/>
          <w:i/>
          <w:iCs/>
          <w:lang w:eastAsia="sr-Latn-RS"/>
        </w:rPr>
        <w:t>isparljiva organska jedinjenja za koja se određuju maksimalne nacionalne emisije (Non-Methane Volatile Organic Compounds</w:t>
      </w:r>
      <w:r w:rsidRPr="00EB47ED">
        <w:rPr>
          <w:rFonts w:ascii="Arial" w:eastAsia="Times New Roman" w:hAnsi="Arial" w:cs="Arial"/>
          <w:lang w:eastAsia="sr-Latn-RS"/>
        </w:rPr>
        <w:t xml:space="preserve"> - NMVOC) su sva organska jedinjenja koja potiču od ljudskih aktivnosti, osim metana, koja mogu da proizvode fotohemijske oksidante, reagujući sa oksidima azota u prisustvu sunčeve svetlosti;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17) </w:t>
      </w:r>
      <w:r w:rsidRPr="00EB47ED">
        <w:rPr>
          <w:rFonts w:ascii="Arial" w:eastAsia="Times New Roman" w:hAnsi="Arial" w:cs="Arial"/>
          <w:i/>
          <w:iCs/>
          <w:lang w:eastAsia="sr-Latn-RS"/>
        </w:rPr>
        <w:t>ukupni oksidi azota izraženi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su ukupni oksidi azota a izvode se računski na osnovu izmerenih koncentracija NO i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prema sledećoj jednačini: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9142"/>
      </w:tblGrid>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ukupni =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 </w:t>
            </w:r>
            <w:r>
              <w:rPr>
                <w:rFonts w:ascii="Arial" w:eastAsia="Times New Roman" w:hAnsi="Arial" w:cs="Arial"/>
                <w:noProof/>
                <w:lang w:eastAsia="sr-Latn-RS"/>
              </w:rPr>
              <w:drawing>
                <wp:inline distT="0" distB="0" distL="0" distR="0">
                  <wp:extent cx="858520" cy="405765"/>
                  <wp:effectExtent l="0" t="0" r="0" b="0"/>
                  <wp:docPr id="1" name="Picture 1" descr="D:\Program Files (x86)\ParagrafLex\browser\Files\Old\t\t2015_12\t12_0437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 (x86)\ParagrafLex\browser\Files\Old\t\t2015_12\t12_0437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405765"/>
                          </a:xfrm>
                          <a:prstGeom prst="rect">
                            <a:avLst/>
                          </a:prstGeom>
                          <a:noFill/>
                          <a:ln>
                            <a:noFill/>
                          </a:ln>
                        </pic:spPr>
                      </pic:pic>
                    </a:graphicData>
                  </a:graphic>
                </wp:inline>
              </w:drawing>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gde 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NO</w:t>
      </w:r>
      <w:r w:rsidRPr="00EB47ED">
        <w:rPr>
          <w:rFonts w:ascii="Arial" w:eastAsia="Times New Roman" w:hAnsi="Arial" w:cs="Arial"/>
          <w:sz w:val="15"/>
          <w:szCs w:val="15"/>
          <w:vertAlign w:val="subscript"/>
          <w:lang w:eastAsia="sr-Latn-RS"/>
        </w:rPr>
        <w:t xml:space="preserve">2 </w:t>
      </w:r>
      <w:r w:rsidRPr="00EB47ED">
        <w:rPr>
          <w:rFonts w:ascii="Arial" w:eastAsia="Times New Roman" w:hAnsi="Arial" w:cs="Arial"/>
          <w:lang w:eastAsia="sr-Latn-RS"/>
        </w:rPr>
        <w:t>- ukupni oksidi azota izraženi kao NO</w:t>
      </w:r>
      <w:r w:rsidRPr="00EB47ED">
        <w:rPr>
          <w:rFonts w:ascii="Arial" w:eastAsia="Times New Roman" w:hAnsi="Arial" w:cs="Arial"/>
          <w:sz w:val="15"/>
          <w:szCs w:val="15"/>
          <w:vertAlign w:val="subscript"/>
          <w:lang w:eastAsia="sr-Latn-RS"/>
        </w:rPr>
        <w:t>2</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M</w:t>
      </w:r>
      <w:r w:rsidRPr="00EB47ED">
        <w:rPr>
          <w:rFonts w:ascii="Arial" w:eastAsia="Times New Roman" w:hAnsi="Arial" w:cs="Arial"/>
          <w:sz w:val="15"/>
          <w:szCs w:val="15"/>
          <w:vertAlign w:val="subscript"/>
          <w:lang w:eastAsia="sr-Latn-RS"/>
        </w:rPr>
        <w:t>NO2</w:t>
      </w:r>
      <w:r w:rsidRPr="00EB47ED">
        <w:rPr>
          <w:rFonts w:ascii="Arial" w:eastAsia="Times New Roman" w:hAnsi="Arial" w:cs="Arial"/>
          <w:lang w:eastAsia="sr-Latn-RS"/>
        </w:rPr>
        <w:t xml:space="preserve"> - molarna masa NO</w:t>
      </w:r>
      <w:r w:rsidRPr="00EB47ED">
        <w:rPr>
          <w:rFonts w:ascii="Arial" w:eastAsia="Times New Roman" w:hAnsi="Arial" w:cs="Arial"/>
          <w:sz w:val="15"/>
          <w:szCs w:val="15"/>
          <w:vertAlign w:val="subscript"/>
          <w:lang w:eastAsia="sr-Latn-RS"/>
        </w:rPr>
        <w:t>2</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M</w:t>
      </w:r>
      <w:r w:rsidRPr="00EB47ED">
        <w:rPr>
          <w:rFonts w:ascii="Arial" w:eastAsia="Times New Roman" w:hAnsi="Arial" w:cs="Arial"/>
          <w:sz w:val="15"/>
          <w:szCs w:val="15"/>
          <w:vertAlign w:val="subscript"/>
          <w:lang w:eastAsia="sr-Latn-RS"/>
        </w:rPr>
        <w:t>NO</w:t>
      </w:r>
      <w:r w:rsidRPr="00EB47ED">
        <w:rPr>
          <w:rFonts w:ascii="Arial" w:eastAsia="Times New Roman" w:hAnsi="Arial" w:cs="Arial"/>
          <w:lang w:eastAsia="sr-Latn-RS"/>
        </w:rPr>
        <w:t xml:space="preserve"> - moralna masa NO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18) </w:t>
      </w:r>
      <w:r w:rsidRPr="00EB47ED">
        <w:rPr>
          <w:rFonts w:ascii="Arial" w:eastAsia="Times New Roman" w:hAnsi="Arial" w:cs="Arial"/>
          <w:i/>
          <w:iCs/>
          <w:lang w:eastAsia="sr-Latn-RS"/>
        </w:rPr>
        <w:t>nadležni organ</w:t>
      </w:r>
      <w:r w:rsidRPr="00EB47ED">
        <w:rPr>
          <w:rFonts w:ascii="Arial" w:eastAsia="Times New Roman" w:hAnsi="Arial" w:cs="Arial"/>
          <w:lang w:eastAsia="sr-Latn-RS"/>
        </w:rPr>
        <w:t xml:space="preserve"> je ministarstvo nadležno za poslove zaštite životne sredine (u daljem tekstu: Ministarstvo) ili nadležni organ za poslove zaštite životne sredine autonomne pokrajine ili jedinice lokalne samouprave u skladu sa zakonom.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8" w:name="clan_5"/>
      <w:bookmarkEnd w:id="8"/>
      <w:r w:rsidRPr="00EB47ED">
        <w:rPr>
          <w:rFonts w:ascii="Arial" w:eastAsia="Times New Roman" w:hAnsi="Arial" w:cs="Arial"/>
          <w:b/>
          <w:bCs/>
          <w:sz w:val="24"/>
          <w:szCs w:val="24"/>
          <w:lang w:eastAsia="sr-Latn-RS"/>
        </w:rPr>
        <w:t xml:space="preserve">Član 5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Zagađujuće materije, u smislu ove uredbe, jesu: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ukupne praškaste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praškaste neorganske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neorganske gasovite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 organske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5) karcinogene materije.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9" w:name="str_5"/>
      <w:bookmarkEnd w:id="9"/>
      <w:r w:rsidRPr="00EB47ED">
        <w:rPr>
          <w:rFonts w:ascii="Arial" w:eastAsia="Times New Roman" w:hAnsi="Arial" w:cs="Arial"/>
          <w:sz w:val="31"/>
          <w:szCs w:val="31"/>
          <w:lang w:eastAsia="sr-Latn-RS"/>
        </w:rPr>
        <w:t xml:space="preserve">II GRANIČNE VREDNOSTI EMISIJA ZA ODREĐENE VRSTE POSTROJENJA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10" w:name="clan_6"/>
      <w:bookmarkEnd w:id="10"/>
      <w:r w:rsidRPr="00EB47ED">
        <w:rPr>
          <w:rFonts w:ascii="Arial" w:eastAsia="Times New Roman" w:hAnsi="Arial" w:cs="Arial"/>
          <w:b/>
          <w:bCs/>
          <w:sz w:val="24"/>
          <w:szCs w:val="24"/>
          <w:lang w:eastAsia="sr-Latn-RS"/>
        </w:rPr>
        <w:t xml:space="preserve">Član 6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stacionarne izvore zagađivanja iz Priloga 1. Granične vrednosti emisija za određene vrste postrojenja, koji je odštampan uz ovu uredbu i čini njen sastavni deo, primenjuju se granične vrednosti emisije propisane ovim prilogom.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stacionarne izvore zagađivanja iz stava 1. ovog člana primenjuju se i granične vrednosti emisije iz Priloga 2. Opšte granične vrednosti emisije, koji je odštampan uz ovu uredbu i čini njen sastavni deo, za one zagađujuće materije koje se na osnovu tehnološkog procesa mogu očekivati u otpadnom gasu a koje nisu propisane u Prilogu 1. za predmetni stacionarni izvor zagađivanja.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Ukoliko za pojedinačni stacionarni izvor zagađivanja nisu propisane posebne granične vrednosti emisija u Prilogu 1. ove uredbe, primenjuju se opšte granične vrednosti emisije iz Priloga 2. za one zagađujuće materije koje se na osnovu tehnološkog procesa mogu očekivati u otpadnom gasu.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11" w:name="clan_7"/>
      <w:bookmarkEnd w:id="11"/>
      <w:r w:rsidRPr="00EB47ED">
        <w:rPr>
          <w:rFonts w:ascii="Arial" w:eastAsia="Times New Roman" w:hAnsi="Arial" w:cs="Arial"/>
          <w:b/>
          <w:bCs/>
          <w:sz w:val="24"/>
          <w:szCs w:val="24"/>
          <w:lang w:eastAsia="sr-Latn-RS"/>
        </w:rPr>
        <w:t xml:space="preserve">Član 7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Prilogom 1. ove uredbe utvrđene su granične vrednosti emisija zagađujućih materija iz postrojenja: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za proizvodnju i preradu uglja;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za proizvodnju i preradu metala (crna i obojena metalurgija);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mineralne industrije;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 hemijske industrije;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 za površinsku obradu metala;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 za proizvodnju olovnih akumulatora;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 postrojenja za tretman otpada i drugih materijala, izuzev termičkog tretmana;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 postrojenja za preradu otpadnih voda;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 za proizvodnju papira i proizvoda od drveta i preradu;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 prehrambene industrije;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 drugih aktivnosti.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12" w:name="str_6"/>
      <w:bookmarkEnd w:id="12"/>
      <w:r w:rsidRPr="00EB47ED">
        <w:rPr>
          <w:rFonts w:ascii="Arial" w:eastAsia="Times New Roman" w:hAnsi="Arial" w:cs="Arial"/>
          <w:sz w:val="31"/>
          <w:szCs w:val="31"/>
          <w:lang w:eastAsia="sr-Latn-RS"/>
        </w:rPr>
        <w:t xml:space="preserve">III GRANIČNI MASENI PROTOCI ZAGAĐUJUĆIH MATERIJA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3" w:name="str_7"/>
      <w:bookmarkEnd w:id="13"/>
      <w:r w:rsidRPr="00EB47ED">
        <w:rPr>
          <w:rFonts w:ascii="Arial" w:eastAsia="Times New Roman" w:hAnsi="Arial" w:cs="Arial"/>
          <w:b/>
          <w:bCs/>
          <w:sz w:val="24"/>
          <w:szCs w:val="24"/>
          <w:lang w:eastAsia="sr-Latn-RS"/>
        </w:rPr>
        <w:t xml:space="preserve">Praškaste materije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14" w:name="clan_8"/>
      <w:bookmarkEnd w:id="14"/>
      <w:r w:rsidRPr="00EB47ED">
        <w:rPr>
          <w:rFonts w:ascii="Arial" w:eastAsia="Times New Roman" w:hAnsi="Arial" w:cs="Arial"/>
          <w:b/>
          <w:bCs/>
          <w:sz w:val="24"/>
          <w:szCs w:val="24"/>
          <w:lang w:eastAsia="sr-Latn-RS"/>
        </w:rPr>
        <w:lastRenderedPageBreak/>
        <w:t xml:space="preserve">Član 8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Stacionarni izvor zagađivanja sa masenim protokom praškastih materija od 1 do 3 kg/h oprema se mernim uređajima koji kontinualno prate parametre rada uređaja i postrojenja za prečišćavanje ove zagađujuće materije iz otpadnih gasova (kvalitativni merni instrumenti).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Stacionarni izvor zagađivanja sa masenim protokom praškastih materija iznad 3 kg/h oprema se mernim uređajima koji kontinualno određuju masenu koncentraciju praškastih materija.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Stacionarni izvor zagađivanja sa emisijama praškastih neorganskih materija, organskih materija I i II klase opasnosti ili karcinogenih materija iz Priloga 2. oprema se mernim uređajima koji kontinualno mere masenu koncentraciju ukupnih praškastih materija ako ovaj maseni protok prekoračuje petostruku vrednost masenog protoka datog u Prilogu 2.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Operater stacionarnog izvora zagađivanja u obavezi je da pet godina čuva podatke o parametrima rada uređaja i postrojenja za prečišćavanje praškastih materija dobijenih mernim uređajima iz stava 1. ovog člana.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5" w:name="str_8"/>
      <w:bookmarkEnd w:id="15"/>
      <w:r w:rsidRPr="00EB47ED">
        <w:rPr>
          <w:rFonts w:ascii="Arial" w:eastAsia="Times New Roman" w:hAnsi="Arial" w:cs="Arial"/>
          <w:b/>
          <w:bCs/>
          <w:sz w:val="24"/>
          <w:szCs w:val="24"/>
          <w:lang w:eastAsia="sr-Latn-RS"/>
        </w:rPr>
        <w:t xml:space="preserve">Granični protoci za gasovite zagađujuće materije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16" w:name="clan_9"/>
      <w:bookmarkEnd w:id="16"/>
      <w:r w:rsidRPr="00EB47ED">
        <w:rPr>
          <w:rFonts w:ascii="Arial" w:eastAsia="Times New Roman" w:hAnsi="Arial" w:cs="Arial"/>
          <w:b/>
          <w:bCs/>
          <w:sz w:val="24"/>
          <w:szCs w:val="24"/>
          <w:lang w:eastAsia="sr-Latn-RS"/>
        </w:rPr>
        <w:t xml:space="preserve">Član 9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Stacionarni izvor zagađivanja oprema se mernim uređajima koji kontinualno određuju masenu koncentraciju gasovitih zagađujućih materija, ukoliko maseni protoci tih jedinjenja, prekoračuju sledeće masene protoke: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7045"/>
        <w:gridCol w:w="2097"/>
      </w:tblGrid>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sumpor dioksid </w:t>
            </w:r>
          </w:p>
        </w:tc>
        <w:tc>
          <w:tcPr>
            <w:tcW w:w="0" w:type="auto"/>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lang w:eastAsia="sr-Latn-RS"/>
              </w:rPr>
            </w:pPr>
            <w:r w:rsidRPr="00EB47ED">
              <w:rPr>
                <w:rFonts w:ascii="Arial" w:eastAsia="Times New Roman" w:hAnsi="Arial" w:cs="Arial"/>
                <w:lang w:eastAsia="sr-Latn-RS"/>
              </w:rPr>
              <w:t xml:space="preserve">30 kg/h (30000 g/h) </w:t>
            </w:r>
          </w:p>
        </w:tc>
      </w:tr>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2) oksidi azota izraženi kao NO</w:t>
            </w:r>
            <w:r w:rsidRPr="00EB47ED">
              <w:rPr>
                <w:rFonts w:ascii="Arial" w:eastAsia="Times New Roman" w:hAnsi="Arial" w:cs="Arial"/>
                <w:sz w:val="15"/>
                <w:szCs w:val="15"/>
                <w:vertAlign w:val="subscript"/>
                <w:lang w:eastAsia="sr-Latn-RS"/>
              </w:rPr>
              <w:t>2</w:t>
            </w:r>
          </w:p>
        </w:tc>
        <w:tc>
          <w:tcPr>
            <w:tcW w:w="0" w:type="auto"/>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lang w:eastAsia="sr-Latn-RS"/>
              </w:rPr>
            </w:pPr>
            <w:r w:rsidRPr="00EB47ED">
              <w:rPr>
                <w:rFonts w:ascii="Arial" w:eastAsia="Times New Roman" w:hAnsi="Arial" w:cs="Arial"/>
                <w:lang w:eastAsia="sr-Latn-RS"/>
              </w:rPr>
              <w:t xml:space="preserve">30 kg/h (30000 g/h) </w:t>
            </w:r>
          </w:p>
        </w:tc>
      </w:tr>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3) ugljen monoksid, u postupku sagorevanja</w:t>
            </w:r>
          </w:p>
        </w:tc>
        <w:tc>
          <w:tcPr>
            <w:tcW w:w="0" w:type="auto"/>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lang w:eastAsia="sr-Latn-RS"/>
              </w:rPr>
            </w:pPr>
            <w:r w:rsidRPr="00EB47ED">
              <w:rPr>
                <w:rFonts w:ascii="Arial" w:eastAsia="Times New Roman" w:hAnsi="Arial" w:cs="Arial"/>
                <w:lang w:eastAsia="sr-Latn-RS"/>
              </w:rPr>
              <w:t>5 kg/h (5000 g/h)</w:t>
            </w:r>
          </w:p>
        </w:tc>
      </w:tr>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 ugljen monoksid, u svim ostalim slučajevima </w:t>
            </w:r>
          </w:p>
        </w:tc>
        <w:tc>
          <w:tcPr>
            <w:tcW w:w="0" w:type="auto"/>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lang w:eastAsia="sr-Latn-RS"/>
              </w:rPr>
            </w:pPr>
            <w:r w:rsidRPr="00EB47ED">
              <w:rPr>
                <w:rFonts w:ascii="Arial" w:eastAsia="Times New Roman" w:hAnsi="Arial" w:cs="Arial"/>
                <w:lang w:eastAsia="sr-Latn-RS"/>
              </w:rPr>
              <w:t>100 kg/h (100000 g/h)</w:t>
            </w:r>
          </w:p>
        </w:tc>
      </w:tr>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 fluor i gasovita neorganska jedinjenja fluora izražena kao fluorovodonik-HF </w:t>
            </w:r>
          </w:p>
        </w:tc>
        <w:tc>
          <w:tcPr>
            <w:tcW w:w="0" w:type="auto"/>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lang w:eastAsia="sr-Latn-RS"/>
              </w:rPr>
            </w:pPr>
            <w:r w:rsidRPr="00EB47ED">
              <w:rPr>
                <w:rFonts w:ascii="Arial" w:eastAsia="Times New Roman" w:hAnsi="Arial" w:cs="Arial"/>
                <w:lang w:eastAsia="sr-Latn-RS"/>
              </w:rPr>
              <w:t xml:space="preserve">0,3 kg/h (300 g/h) </w:t>
            </w:r>
          </w:p>
        </w:tc>
      </w:tr>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 gasovita neorganska jedinjenja hlora izražena kao hlorovodonik-HCl </w:t>
            </w:r>
          </w:p>
        </w:tc>
        <w:tc>
          <w:tcPr>
            <w:tcW w:w="0" w:type="auto"/>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lang w:eastAsia="sr-Latn-RS"/>
              </w:rPr>
            </w:pPr>
            <w:r w:rsidRPr="00EB47ED">
              <w:rPr>
                <w:rFonts w:ascii="Arial" w:eastAsia="Times New Roman" w:hAnsi="Arial" w:cs="Arial"/>
                <w:lang w:eastAsia="sr-Latn-RS"/>
              </w:rPr>
              <w:t xml:space="preserve">1,5 kg/h (1500 g/h) </w:t>
            </w:r>
          </w:p>
        </w:tc>
      </w:tr>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 hlor </w:t>
            </w:r>
          </w:p>
        </w:tc>
        <w:tc>
          <w:tcPr>
            <w:tcW w:w="0" w:type="auto"/>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lang w:eastAsia="sr-Latn-RS"/>
              </w:rPr>
            </w:pPr>
            <w:r w:rsidRPr="00EB47ED">
              <w:rPr>
                <w:rFonts w:ascii="Arial" w:eastAsia="Times New Roman" w:hAnsi="Arial" w:cs="Arial"/>
                <w:lang w:eastAsia="sr-Latn-RS"/>
              </w:rPr>
              <w:t xml:space="preserve">0,3 kg/h (300 g/h) </w:t>
            </w:r>
          </w:p>
        </w:tc>
      </w:tr>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 vodonik sulfid </w:t>
            </w:r>
          </w:p>
        </w:tc>
        <w:tc>
          <w:tcPr>
            <w:tcW w:w="0" w:type="auto"/>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lang w:eastAsia="sr-Latn-RS"/>
              </w:rPr>
            </w:pPr>
            <w:r w:rsidRPr="00EB47ED">
              <w:rPr>
                <w:rFonts w:ascii="Arial" w:eastAsia="Times New Roman" w:hAnsi="Arial" w:cs="Arial"/>
                <w:lang w:eastAsia="sr-Latn-RS"/>
              </w:rPr>
              <w:t xml:space="preserve">0,3 kg/h (300 g/h)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7" w:name="str_9"/>
      <w:bookmarkEnd w:id="17"/>
      <w:r w:rsidRPr="00EB47ED">
        <w:rPr>
          <w:rFonts w:ascii="Arial" w:eastAsia="Times New Roman" w:hAnsi="Arial" w:cs="Arial"/>
          <w:b/>
          <w:bCs/>
          <w:sz w:val="24"/>
          <w:szCs w:val="24"/>
          <w:lang w:eastAsia="sr-Latn-RS"/>
        </w:rPr>
        <w:t xml:space="preserve">Organska jedinjenja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18" w:name="clan_10"/>
      <w:bookmarkEnd w:id="18"/>
      <w:r w:rsidRPr="00EB47ED">
        <w:rPr>
          <w:rFonts w:ascii="Arial" w:eastAsia="Times New Roman" w:hAnsi="Arial" w:cs="Arial"/>
          <w:b/>
          <w:bCs/>
          <w:sz w:val="24"/>
          <w:szCs w:val="24"/>
          <w:lang w:eastAsia="sr-Latn-RS"/>
        </w:rPr>
        <w:t xml:space="preserve">Član 10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Stacionarni izvor zagađivanja oprema se mernim uređajima koji kontinualno određuju masenu koncentraciju ukupnog sadržaja ugljenika ukoliko je maseni protok organskih materija I klase opasnosti veći od 1000 g/h ili ukoliko je maseni protok organskih materija I i II klase opasnosti veći od 2500 g/h.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9" w:name="str_10"/>
      <w:bookmarkEnd w:id="19"/>
      <w:r w:rsidRPr="00EB47ED">
        <w:rPr>
          <w:rFonts w:ascii="Arial" w:eastAsia="Times New Roman" w:hAnsi="Arial" w:cs="Arial"/>
          <w:b/>
          <w:bCs/>
          <w:sz w:val="24"/>
          <w:szCs w:val="24"/>
          <w:lang w:eastAsia="sr-Latn-RS"/>
        </w:rPr>
        <w:t xml:space="preserve">Živa i njena jedinjenja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20" w:name="clan_11"/>
      <w:bookmarkEnd w:id="20"/>
      <w:r w:rsidRPr="00EB47ED">
        <w:rPr>
          <w:rFonts w:ascii="Arial" w:eastAsia="Times New Roman" w:hAnsi="Arial" w:cs="Arial"/>
          <w:b/>
          <w:bCs/>
          <w:sz w:val="24"/>
          <w:szCs w:val="24"/>
          <w:lang w:eastAsia="sr-Latn-RS"/>
        </w:rPr>
        <w:t xml:space="preserve">Član 11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Stacionarni izvor zagađivanja sa masenim protokom žive i njenih jedinjenja, izraženih kao Hg, većim od 2,5 g/h, oprema se mernim uređajima koji kontinualno određuju masenu koncentraciju žive.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21" w:name="str_11"/>
      <w:bookmarkEnd w:id="21"/>
      <w:r w:rsidRPr="00EB47ED">
        <w:rPr>
          <w:rFonts w:ascii="Arial" w:eastAsia="Times New Roman" w:hAnsi="Arial" w:cs="Arial"/>
          <w:b/>
          <w:bCs/>
          <w:sz w:val="24"/>
          <w:szCs w:val="24"/>
          <w:lang w:eastAsia="sr-Latn-RS"/>
        </w:rPr>
        <w:t xml:space="preserve">Parametri otpadnog gasa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22" w:name="clan_12"/>
      <w:bookmarkEnd w:id="22"/>
      <w:r w:rsidRPr="00EB47ED">
        <w:rPr>
          <w:rFonts w:ascii="Arial" w:eastAsia="Times New Roman" w:hAnsi="Arial" w:cs="Arial"/>
          <w:b/>
          <w:bCs/>
          <w:sz w:val="24"/>
          <w:szCs w:val="24"/>
          <w:lang w:eastAsia="sr-Latn-RS"/>
        </w:rPr>
        <w:t xml:space="preserve">Član 12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Stacionarni izvor zagađivanja, za koji postoji obaveza kontinualnog merenja koncentracija zagađujućih materija, oprema se mernim uređajima koji kontinualno određuju sve neophodne parametre stanja otpadnog gasa (npr. temperaturu otpadnog gasa, zapreminski protok otpadnog gasa, vlažnost, pritisak, udeo kiseonika), radi vrednovanja i ocene rezultata merenja u skladu sa ovom uredbom.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23" w:name="str_12"/>
      <w:bookmarkEnd w:id="23"/>
      <w:r w:rsidRPr="00EB47ED">
        <w:rPr>
          <w:rFonts w:ascii="Arial" w:eastAsia="Times New Roman" w:hAnsi="Arial" w:cs="Arial"/>
          <w:b/>
          <w:bCs/>
          <w:sz w:val="24"/>
          <w:szCs w:val="24"/>
          <w:lang w:eastAsia="sr-Latn-RS"/>
        </w:rPr>
        <w:t xml:space="preserve">Postrojenja koja podležu izdavanju integrisane dozvole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24" w:name="clan_13"/>
      <w:bookmarkEnd w:id="24"/>
      <w:r w:rsidRPr="00EB47ED">
        <w:rPr>
          <w:rFonts w:ascii="Arial" w:eastAsia="Times New Roman" w:hAnsi="Arial" w:cs="Arial"/>
          <w:b/>
          <w:bCs/>
          <w:sz w:val="24"/>
          <w:szCs w:val="24"/>
          <w:lang w:eastAsia="sr-Latn-RS"/>
        </w:rPr>
        <w:t xml:space="preserve">Član 13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Nadležni organ u integrisanoj dozvoli može 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propiše niže, odnosno strožije granične vrednosti emisija zagađujućih materija od onih propisanih u prilozima 1. i 2. ove uredbe i drugačije rokove za njihovo postizanje;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propiše granične vrednosti emisija i za druge zagađujuće materije, za koje granične vrednosti emisija nisu propisane u prilozima 1. i 2. ove uredbe, ukoliko je to tehnički i tehnološki opravdano, kao i rokove za njihovo postizanje;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propiše strožije uslove za kontinualno merenje emisije, tj. i niže masene protoke od masenih protoka utvrđenih ovom uredbom.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 postrojenja koja podležu izdavanju integrisane dozvole, način merenja emisije zagađujućih materija u vazduh iz stacionarnih izvora zagađivanja utvrđuje se integrisanom dozvolom u skladu sa odredbama propisa kojim se uređuju merenja emisija zagađujućih materija u vazduh iz stacionarnih izvora zagađivanja.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25" w:name="str_13"/>
      <w:bookmarkEnd w:id="25"/>
      <w:r w:rsidRPr="00EB47ED">
        <w:rPr>
          <w:rFonts w:ascii="Arial" w:eastAsia="Times New Roman" w:hAnsi="Arial" w:cs="Arial"/>
          <w:sz w:val="31"/>
          <w:szCs w:val="31"/>
          <w:lang w:eastAsia="sr-Latn-RS"/>
        </w:rPr>
        <w:t xml:space="preserve">IV MAKSIMALNE NACIONALNE EMISIJE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26" w:name="str_14"/>
      <w:bookmarkEnd w:id="26"/>
      <w:r w:rsidRPr="00EB47ED">
        <w:rPr>
          <w:rFonts w:ascii="Arial" w:eastAsia="Times New Roman" w:hAnsi="Arial" w:cs="Arial"/>
          <w:b/>
          <w:bCs/>
          <w:sz w:val="24"/>
          <w:szCs w:val="24"/>
          <w:lang w:eastAsia="sr-Latn-RS"/>
        </w:rPr>
        <w:t xml:space="preserve">Određivanje maksimalnih nacionalnih emisija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27" w:name="clan_14"/>
      <w:bookmarkEnd w:id="27"/>
      <w:r w:rsidRPr="00EB47ED">
        <w:rPr>
          <w:rFonts w:ascii="Arial" w:eastAsia="Times New Roman" w:hAnsi="Arial" w:cs="Arial"/>
          <w:b/>
          <w:bCs/>
          <w:sz w:val="24"/>
          <w:szCs w:val="24"/>
          <w:lang w:eastAsia="sr-Latn-RS"/>
        </w:rPr>
        <w:t xml:space="preserve">Član 14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U cilju određivanja maksimalnih nacionalnih emisija acidifikujućih i eutrofikujućih zagađujućih materija i prekursora prizemnog ozona, i to sumpor dioksida (SO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oksida azota (NO</w:t>
      </w:r>
      <w:r w:rsidRPr="00EB47ED">
        <w:rPr>
          <w:rFonts w:ascii="Arial" w:eastAsia="Times New Roman" w:hAnsi="Arial" w:cs="Arial"/>
          <w:sz w:val="15"/>
          <w:szCs w:val="15"/>
          <w:vertAlign w:val="subscript"/>
          <w:lang w:eastAsia="sr-Latn-RS"/>
        </w:rPr>
        <w:t>x</w:t>
      </w:r>
      <w:r w:rsidRPr="00EB47ED">
        <w:rPr>
          <w:rFonts w:ascii="Arial" w:eastAsia="Times New Roman" w:hAnsi="Arial" w:cs="Arial"/>
          <w:lang w:eastAsia="sr-Latn-RS"/>
        </w:rPr>
        <w:t>), isparljivih organskih jedinjenja (VOC) i amonijaka (NH</w:t>
      </w:r>
      <w:r w:rsidRPr="00EB47ED">
        <w:rPr>
          <w:rFonts w:ascii="Arial" w:eastAsia="Times New Roman" w:hAnsi="Arial" w:cs="Arial"/>
          <w:sz w:val="15"/>
          <w:szCs w:val="15"/>
          <w:vertAlign w:val="subscript"/>
          <w:lang w:eastAsia="sr-Latn-RS"/>
        </w:rPr>
        <w:t>3</w:t>
      </w:r>
      <w:r w:rsidRPr="00EB47ED">
        <w:rPr>
          <w:rFonts w:ascii="Arial" w:eastAsia="Times New Roman" w:hAnsi="Arial" w:cs="Arial"/>
          <w:lang w:eastAsia="sr-Latn-RS"/>
        </w:rPr>
        <w:t xml:space="preserve">) izraženih u kilotonama, utvrđuju se: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nivoi emisija zagađujućih materija iz stava 1. ovog člana primenom metodologija, prostorne mreže i vremenskog rasporeda, utvrđenih od strane EMEP;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nivoi emisija zagađujućih materija iz stava 1. ovog člana u 1990. godini, kao referentnoj, primenom metodologija, prostorne mreže i vremenskog rasporeda, utvrđenih od strane EMEP;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procene budućih emisija.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Po utvrđivanju maksimalnih nacionalnih emisija zagađujućih materija iz stava 1. ovog člana donosi se Nacionalni program za postepeno smanjivanje godišnjih maksimalnih nacionalnih emisija zagađujućih materija i po potrebi utvrđuju se posebne okolnosti zbog kojih je opravdano odstupanje od utvrđenih maksimalnih nacionalnih emisija.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28" w:name="str_15"/>
      <w:bookmarkEnd w:id="28"/>
      <w:r w:rsidRPr="00EB47ED">
        <w:rPr>
          <w:rFonts w:ascii="Arial" w:eastAsia="Times New Roman" w:hAnsi="Arial" w:cs="Arial"/>
          <w:b/>
          <w:bCs/>
          <w:sz w:val="24"/>
          <w:szCs w:val="24"/>
          <w:lang w:eastAsia="sr-Latn-RS"/>
        </w:rPr>
        <w:t xml:space="preserve">Smanjivanje emisija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29" w:name="clan_15"/>
      <w:bookmarkEnd w:id="29"/>
      <w:r w:rsidRPr="00EB47ED">
        <w:rPr>
          <w:rFonts w:ascii="Arial" w:eastAsia="Times New Roman" w:hAnsi="Arial" w:cs="Arial"/>
          <w:b/>
          <w:bCs/>
          <w:sz w:val="24"/>
          <w:szCs w:val="24"/>
          <w:lang w:eastAsia="sr-Latn-RS"/>
        </w:rPr>
        <w:t xml:space="preserve">Član 15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Nacionalnim programom za postepeno smanjivanje godišnjih maksimalnih nacionalnih emisija zagađujućih materija iz člana 14. stav 2. ove uredbe obezbeđuju se uslovi i utvrđuju rokovi za postizanje privremenih ciljeva smanjenja nacionalnih emisija na osnovu kritičnih opterećenja i kritičnih nivoa, i to: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w:t>
      </w:r>
      <w:r w:rsidRPr="00EB47ED">
        <w:rPr>
          <w:rFonts w:ascii="Arial" w:eastAsia="Times New Roman" w:hAnsi="Arial" w:cs="Arial"/>
          <w:i/>
          <w:iCs/>
          <w:lang w:eastAsia="sr-Latn-RS"/>
        </w:rPr>
        <w:t>U odnosu na smanjenje nivoa acidifikacije:</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područjima gde su kritična opterećenja prekoračena, nacionalne maksimalne emisije moraju se smanjiti za najmanje 50% u odnosu na nivo u referentnoj 1990. godini, u svakom kvadrantu prostorne mreže;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w:t>
      </w:r>
      <w:r w:rsidRPr="00EB47ED">
        <w:rPr>
          <w:rFonts w:ascii="Arial" w:eastAsia="Times New Roman" w:hAnsi="Arial" w:cs="Arial"/>
          <w:i/>
          <w:iCs/>
          <w:lang w:eastAsia="sr-Latn-RS"/>
        </w:rPr>
        <w:t>U odnosu na izloženost prizemnom ozonu iznad nivoa kritičnog po zdravlje ljudi:</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područjima gde su kritična opterećenja prizemnim ozonom iznad nivoa kritičnog po zdravlje ljudi (AOT60=0), nacionalne emisije moraju se smanjiti za 2/3 u odnosu na nivo u referentnoj 1990. godini, u svakom kvadrantu prostorne mreže. Dodatno, opterećenje prizemnim ozonom ne može preći apsolutnu granicu od 2,9 ppm·h u svakom kvadrantu prostorne mreže;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w:t>
      </w:r>
      <w:r w:rsidRPr="00EB47ED">
        <w:rPr>
          <w:rFonts w:ascii="Arial" w:eastAsia="Times New Roman" w:hAnsi="Arial" w:cs="Arial"/>
          <w:i/>
          <w:iCs/>
          <w:lang w:eastAsia="sr-Latn-RS"/>
        </w:rPr>
        <w:t>U odnosu na izloženost prizemnom ozonu iznad nivoa kritičnog po vegetaciju:</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područjima gde su kritična opterećenja prizemnim ozonom iznad nivoa kritičnog za useve i višegodišnje zasade (AOT40=3 ppm·h), nacionalne emisije moraju se smanjiti za 1/3 u odnosu na nivo u referentnoj 1990. godini, u svakom kvadrantu prostorne mreže. Dodatno, opterećenje prizemnim ozonom ne može preći apsolutnu granicu od 10 ppm·h izraženu kao prekoračenje kritičnog nivoa od 3 ppm·h u svakom kvadrantu prostorne mreže.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30" w:name="str_16"/>
      <w:bookmarkEnd w:id="30"/>
      <w:r w:rsidRPr="00EB47ED">
        <w:rPr>
          <w:rFonts w:ascii="Arial" w:eastAsia="Times New Roman" w:hAnsi="Arial" w:cs="Arial"/>
          <w:sz w:val="31"/>
          <w:szCs w:val="31"/>
          <w:lang w:eastAsia="sr-Latn-RS"/>
        </w:rPr>
        <w:t xml:space="preserve">V NAČIN DOSTAVLJANJA PODATAKA O EMISIJAMA ZA POTREBE INFORMACIONOG SISTEMA I ROKOVI DOSTAVLJANJA PODATAKA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31" w:name="str_17"/>
      <w:bookmarkEnd w:id="31"/>
      <w:r w:rsidRPr="00EB47ED">
        <w:rPr>
          <w:rFonts w:ascii="Arial" w:eastAsia="Times New Roman" w:hAnsi="Arial" w:cs="Arial"/>
          <w:b/>
          <w:bCs/>
          <w:sz w:val="24"/>
          <w:szCs w:val="24"/>
          <w:lang w:eastAsia="sr-Latn-RS"/>
        </w:rPr>
        <w:t xml:space="preserve">Registar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32" w:name="clan_16"/>
      <w:bookmarkEnd w:id="32"/>
      <w:r w:rsidRPr="00EB47ED">
        <w:rPr>
          <w:rFonts w:ascii="Arial" w:eastAsia="Times New Roman" w:hAnsi="Arial" w:cs="Arial"/>
          <w:b/>
          <w:bCs/>
          <w:sz w:val="24"/>
          <w:szCs w:val="24"/>
          <w:lang w:eastAsia="sr-Latn-RS"/>
        </w:rPr>
        <w:t xml:space="preserve">Član 16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Registar stacionarnih izvora zagađivanja vodi Agencija za zaštitu životne sredine (u daljem tekstu: Agencija) za potrebe Nacionalnog registra izvora zagađivanja u skladu sa propisom kojim je uređena metodologija za izradu Nacionalnog i lokalnog registra izvora zagađivanja, kao i metodologija za vrste, načine i rokove prikupljanja podataka.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Pored osnovnih podataka o stacionarnom izvoru zagađivanja, registar treba da sadrži količine zagađujućih materija koje se ispuštaju iz stacionarnog izvora zagađivanja, kao i druge podatke o emisijama.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33" w:name="str_18"/>
      <w:bookmarkEnd w:id="33"/>
      <w:r w:rsidRPr="00EB47ED">
        <w:rPr>
          <w:rFonts w:ascii="Arial" w:eastAsia="Times New Roman" w:hAnsi="Arial" w:cs="Arial"/>
          <w:b/>
          <w:bCs/>
          <w:sz w:val="24"/>
          <w:szCs w:val="24"/>
          <w:lang w:eastAsia="sr-Latn-RS"/>
        </w:rPr>
        <w:lastRenderedPageBreak/>
        <w:t xml:space="preserve">Izveštaj o godišnjem bilansu emisija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34" w:name="clan_17"/>
      <w:bookmarkEnd w:id="34"/>
      <w:r w:rsidRPr="00EB47ED">
        <w:rPr>
          <w:rFonts w:ascii="Arial" w:eastAsia="Times New Roman" w:hAnsi="Arial" w:cs="Arial"/>
          <w:b/>
          <w:bCs/>
          <w:sz w:val="24"/>
          <w:szCs w:val="24"/>
          <w:lang w:eastAsia="sr-Latn-RS"/>
        </w:rPr>
        <w:t xml:space="preserve">Član 17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Izveštaj o godišnjem bilansu emisija zagađujućih materija u vazduh iz stacionarnog izvora zagađivanja operater dostavlja Agenciji za Nacionalni registar izvora zagađivanja, odnosno organu nadležnom za poslove zaštite životne sredine za lokalni registar izvora zagađivanja, na obrascu datom u Prilogu 3. Izveštaj o godišnjem bilansu emisija, koji je odštampan uz ovu uredbu i čini njen sastavni deo, do 31. januara tekuće godine za prethodnu kalendarsku godinu.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obrazac izveštaja iz stava 1. ovog člana unose se rezultati kontinualnog merenja emisije sprovedenih u skladu sa Zakonom o zaštiti vazduha.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obrazac izveštaja iz stava 1. ovog člana unose se podaci koji su dobijeni na osnovu procene samo u slučaju kada ne postoje rezultati kontinualnog ili periodičnog merenja emisije sprovedenih na osnovu Zakona o zaštiti vazduha.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Ukoliko ne postoje rezultati kontinualnog merenja emisije, u obrazac izveštaja iz stava 1. ovog člana unose se podaci dobijeni proračunom iz rezultata svih periodičnih merenja emisije zagađujućih materija izvršenih u kalendarskoj godini u skladu sa Zakonom o zaštiti vazduha.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Godišnje količine obračunavaju se na osnovu procene samo u slučaju kada ne postoje rezultati kontinualnog ili periodičnog merenja emisije sprovedenih na osnovu propisa kojim se uređuje zaštita vazduha i propisa kojim se uređuje merenje emisija zagađujućih materija u vazduh iz stacionarnih izvora zagađivanja.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35" w:name="str_19"/>
      <w:bookmarkEnd w:id="35"/>
      <w:r w:rsidRPr="00EB47ED">
        <w:rPr>
          <w:rFonts w:ascii="Arial" w:eastAsia="Times New Roman" w:hAnsi="Arial" w:cs="Arial"/>
          <w:sz w:val="31"/>
          <w:szCs w:val="31"/>
          <w:lang w:eastAsia="sr-Latn-RS"/>
        </w:rPr>
        <w:t xml:space="preserve">VI PRELAZNE I ZAVRŠNE ODREDBE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36" w:name="clan_18"/>
      <w:bookmarkEnd w:id="36"/>
      <w:r w:rsidRPr="00EB47ED">
        <w:rPr>
          <w:rFonts w:ascii="Arial" w:eastAsia="Times New Roman" w:hAnsi="Arial" w:cs="Arial"/>
          <w:b/>
          <w:bCs/>
          <w:sz w:val="24"/>
          <w:szCs w:val="24"/>
          <w:lang w:eastAsia="sr-Latn-RS"/>
        </w:rPr>
        <w:t xml:space="preserve">Član 18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nove stacionarne izvore zagađivanja primenjuju se granične vrednosti emisija zagađujućih materija koje su Prilogom 1. propisane za nove stacionarne izvore zagađivanja i opšte granične vrednosti emisija koje su propisane Prilogom 2, počev od dana stupanja na snagu ove uredbe.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37" w:name="clan_19"/>
      <w:bookmarkEnd w:id="37"/>
      <w:r w:rsidRPr="00EB47ED">
        <w:rPr>
          <w:rFonts w:ascii="Arial" w:eastAsia="Times New Roman" w:hAnsi="Arial" w:cs="Arial"/>
          <w:b/>
          <w:bCs/>
          <w:sz w:val="24"/>
          <w:szCs w:val="24"/>
          <w:lang w:eastAsia="sr-Latn-RS"/>
        </w:rPr>
        <w:t xml:space="preserve">Član 19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postojeće stacionarne izvore zagađivanja primenjuju se granične vrednosti emisija zagađujućih materija koje su Prilogom 1. propisane za postojeće stacionarne izvore zagađivanja i opšte granične vrednosti emisija iz Priloga 2, počev od dana stupanja na snagu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Emisije iz postojećih stacionarnih izvora zagađivanja iz Priloga 1. ove uredbe moraju biti usklađene sa graničnim vrednostima emisija koje su Prilogom 1. propisane za nove stacionarne izvore zagađivanja u roku od pet godina od dana stupanja na snagu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 postojeće stacionarne izvore zagađivanja koji podležu izdavanju integrisane dozvole važe rokovi usklađivanja iz stava 1. ovog člana do izdavanja integrisane dozvole. </w:t>
      </w:r>
    </w:p>
    <w:p w:rsidR="00EB47ED" w:rsidRPr="00EB47ED" w:rsidRDefault="00EB47ED" w:rsidP="00EB47ED">
      <w:pPr>
        <w:spacing w:before="240" w:after="120" w:line="240" w:lineRule="auto"/>
        <w:jc w:val="center"/>
        <w:rPr>
          <w:rFonts w:ascii="Arial" w:eastAsia="Times New Roman" w:hAnsi="Arial" w:cs="Arial"/>
          <w:b/>
          <w:bCs/>
          <w:sz w:val="24"/>
          <w:szCs w:val="24"/>
          <w:lang w:eastAsia="sr-Latn-RS"/>
        </w:rPr>
      </w:pPr>
      <w:bookmarkStart w:id="38" w:name="clan_20"/>
      <w:bookmarkEnd w:id="38"/>
      <w:r w:rsidRPr="00EB47ED">
        <w:rPr>
          <w:rFonts w:ascii="Arial" w:eastAsia="Times New Roman" w:hAnsi="Arial" w:cs="Arial"/>
          <w:b/>
          <w:bCs/>
          <w:sz w:val="24"/>
          <w:szCs w:val="24"/>
          <w:lang w:eastAsia="sr-Latn-RS"/>
        </w:rPr>
        <w:t xml:space="preserve">Član 20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Ova uredba stupa na snagu osmog dana od dana objavljivanja u "Službenom glasniku Republike Srbije". </w:t>
      </w:r>
    </w:p>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b/>
          <w:bCs/>
          <w:sz w:val="31"/>
          <w:szCs w:val="31"/>
          <w:lang w:eastAsia="sr-Latn-RS"/>
        </w:rPr>
      </w:pPr>
      <w:bookmarkStart w:id="39" w:name="str_20"/>
      <w:bookmarkEnd w:id="39"/>
      <w:r w:rsidRPr="00EB47ED">
        <w:rPr>
          <w:rFonts w:ascii="Arial" w:eastAsia="Times New Roman" w:hAnsi="Arial" w:cs="Arial"/>
          <w:b/>
          <w:bCs/>
          <w:sz w:val="31"/>
          <w:szCs w:val="31"/>
          <w:lang w:eastAsia="sr-Latn-RS"/>
        </w:rPr>
        <w:t xml:space="preserve">Prilog 1. </w:t>
      </w:r>
    </w:p>
    <w:p w:rsidR="00EB47ED" w:rsidRPr="00EB47ED" w:rsidRDefault="00EB47ED" w:rsidP="00EB47ED">
      <w:pPr>
        <w:spacing w:after="0" w:line="240" w:lineRule="auto"/>
        <w:jc w:val="center"/>
        <w:rPr>
          <w:rFonts w:ascii="Arial" w:eastAsia="Times New Roman" w:hAnsi="Arial" w:cs="Arial"/>
          <w:b/>
          <w:bCs/>
          <w:sz w:val="31"/>
          <w:szCs w:val="31"/>
          <w:lang w:eastAsia="sr-Latn-RS"/>
        </w:rPr>
      </w:pPr>
      <w:r w:rsidRPr="00EB47ED">
        <w:rPr>
          <w:rFonts w:ascii="Arial" w:eastAsia="Times New Roman" w:hAnsi="Arial" w:cs="Arial"/>
          <w:b/>
          <w:bCs/>
          <w:sz w:val="31"/>
          <w:szCs w:val="31"/>
          <w:lang w:eastAsia="sr-Latn-RS"/>
        </w:rPr>
        <w:t xml:space="preserve">GRANIČNE VREDNOSTI EMISIJA ZA ODREĐENE VRSTE POSTROJENJA </w:t>
      </w:r>
    </w:p>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40" w:name="str_21"/>
      <w:bookmarkEnd w:id="40"/>
      <w:r w:rsidRPr="00EB47ED">
        <w:rPr>
          <w:rFonts w:ascii="Arial" w:eastAsia="Times New Roman" w:hAnsi="Arial" w:cs="Arial"/>
          <w:sz w:val="31"/>
          <w:szCs w:val="31"/>
          <w:lang w:eastAsia="sr-Latn-RS"/>
        </w:rPr>
        <w:t xml:space="preserve">Deo I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PROIZVODNJA I PRERADA UGLJA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41" w:name="str_22"/>
      <w:bookmarkEnd w:id="41"/>
      <w:r w:rsidRPr="00EB47ED">
        <w:rPr>
          <w:rFonts w:ascii="Arial" w:eastAsia="Times New Roman" w:hAnsi="Arial" w:cs="Arial"/>
          <w:b/>
          <w:bCs/>
          <w:sz w:val="24"/>
          <w:szCs w:val="24"/>
          <w:lang w:eastAsia="sr-Latn-RS"/>
        </w:rPr>
        <w:t xml:space="preserve">1. Postrojenja za briketiranje mrkog i kamenog uglja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briketiranje kamenog uglja i lignita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696"/>
        <w:gridCol w:w="5607"/>
        <w:gridCol w:w="185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briketiranje kamenog uglja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75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briketiranje mrkog uglja posle uređaja za vlaženje ili mokro prečišćavanje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postojeća postrojenja za briketiranje mrkog uglja (otprašivači)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42" w:name="str_23"/>
      <w:bookmarkEnd w:id="42"/>
      <w:r w:rsidRPr="00EB47ED">
        <w:rPr>
          <w:rFonts w:ascii="Arial" w:eastAsia="Times New Roman" w:hAnsi="Arial" w:cs="Arial"/>
          <w:b/>
          <w:bCs/>
          <w:sz w:val="24"/>
          <w:szCs w:val="24"/>
          <w:lang w:eastAsia="sr-Latn-RS"/>
        </w:rPr>
        <w:t xml:space="preserve">2. Postrojenja za suvu destilaciju kamenog uglja (koksare)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suvu destilaciju kamenog uglja (koksare) u otpadnom gasu sa zapreminskim udelom kiseonika od 5%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526"/>
        <w:gridCol w:w="3636"/>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jedinjenja sumpora izražena kao 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r>
    </w:tbl>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43" w:name="str_24"/>
      <w:bookmarkEnd w:id="43"/>
      <w:r w:rsidRPr="00EB47ED">
        <w:rPr>
          <w:rFonts w:ascii="Arial" w:eastAsia="Times New Roman" w:hAnsi="Arial" w:cs="Arial"/>
          <w:sz w:val="31"/>
          <w:szCs w:val="31"/>
          <w:lang w:eastAsia="sr-Latn-RS"/>
        </w:rPr>
        <w:t xml:space="preserve">Deo II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PROIZVODNJA I PRERADA METALA </w:t>
      </w:r>
    </w:p>
    <w:p w:rsidR="00EB47ED" w:rsidRPr="00EB47ED" w:rsidRDefault="00EB47ED" w:rsidP="00EB47ED">
      <w:pPr>
        <w:spacing w:before="240" w:after="240" w:line="240" w:lineRule="auto"/>
        <w:jc w:val="center"/>
        <w:rPr>
          <w:rFonts w:ascii="Arial" w:eastAsia="Times New Roman" w:hAnsi="Arial" w:cs="Arial"/>
          <w:b/>
          <w:bCs/>
          <w:i/>
          <w:iCs/>
          <w:sz w:val="24"/>
          <w:szCs w:val="24"/>
          <w:lang w:eastAsia="sr-Latn-RS"/>
        </w:rPr>
      </w:pPr>
      <w:bookmarkStart w:id="44" w:name="str_25"/>
      <w:bookmarkEnd w:id="44"/>
      <w:r w:rsidRPr="00EB47ED">
        <w:rPr>
          <w:rFonts w:ascii="Arial" w:eastAsia="Times New Roman" w:hAnsi="Arial" w:cs="Arial"/>
          <w:b/>
          <w:bCs/>
          <w:i/>
          <w:iCs/>
          <w:sz w:val="24"/>
          <w:szCs w:val="24"/>
          <w:lang w:eastAsia="sr-Latn-RS"/>
        </w:rPr>
        <w:t xml:space="preserve">CRNA METALURGIJA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45" w:name="str_26"/>
      <w:bookmarkEnd w:id="45"/>
      <w:r w:rsidRPr="00EB47ED">
        <w:rPr>
          <w:rFonts w:ascii="Arial" w:eastAsia="Times New Roman" w:hAnsi="Arial" w:cs="Arial"/>
          <w:b/>
          <w:bCs/>
          <w:sz w:val="24"/>
          <w:szCs w:val="24"/>
          <w:lang w:eastAsia="sr-Latn-RS"/>
        </w:rPr>
        <w:t xml:space="preserve">1. Postrojenja za prženje, topljenje i sinterovanje gvozdene rude (aglomeracija)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Granična vrednost emisije za nova postrojenja za prženje, topljenje i sinterovanje gvozdene rude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849"/>
        <w:gridCol w:w="2204"/>
        <w:gridCol w:w="210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traka za sinterovanje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400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olovo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75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0,1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prženje, topljenje i sinterovanje gvozdene rude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25"/>
        <w:gridCol w:w="3178"/>
        <w:gridCol w:w="285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traka za sinterovanje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olovo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0,5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Opšte granične vrednosti emisija date u Prilogu 2. ove uredbe ne primenjuju se na postojeća postrojenja.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46" w:name="str_27"/>
      <w:bookmarkEnd w:id="46"/>
      <w:r w:rsidRPr="00EB47ED">
        <w:rPr>
          <w:rFonts w:ascii="Arial" w:eastAsia="Times New Roman" w:hAnsi="Arial" w:cs="Arial"/>
          <w:b/>
          <w:bCs/>
          <w:sz w:val="24"/>
          <w:szCs w:val="24"/>
          <w:lang w:eastAsia="sr-Latn-RS"/>
        </w:rPr>
        <w:t xml:space="preserve">2. Postrojenja za peletiranje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peletiranje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17"/>
        <w:gridCol w:w="2299"/>
        <w:gridCol w:w="3546"/>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mlevenje, sušenje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peletiranje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ukupne 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 g/Mg proizvedenih peleta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47" w:name="str_28"/>
      <w:bookmarkEnd w:id="47"/>
      <w:r w:rsidRPr="00EB47ED">
        <w:rPr>
          <w:rFonts w:ascii="Arial" w:eastAsia="Times New Roman" w:hAnsi="Arial" w:cs="Arial"/>
          <w:b/>
          <w:bCs/>
          <w:sz w:val="24"/>
          <w:szCs w:val="24"/>
          <w:lang w:eastAsia="sr-Latn-RS"/>
        </w:rPr>
        <w:t xml:space="preserve">3. Livnice sivog livenog gvožđa (sivog liva), legiranog livenog gvožđa i čelika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nove livnice sivog livenog gvožđa (sivog liva), legiranog livenog gvožđa i čelika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500"/>
        <w:gridCol w:w="3981"/>
        <w:gridCol w:w="1178"/>
        <w:gridCol w:w="1503"/>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w:t>
            </w:r>
            <w:r w:rsidRPr="00EB47ED">
              <w:rPr>
                <w:rFonts w:ascii="Arial" w:eastAsia="Times New Roman" w:hAnsi="Arial" w:cs="Arial"/>
                <w:lang w:eastAsia="sr-Latn-RS"/>
              </w:rPr>
              <w:lastRenderedPageBreak/>
              <w:t xml:space="preserve">(g/h)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GVE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sa odsisavanjem gasa pri vrhu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sa odsisavanjem gasa pri dnu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indukcione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električne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konvertori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druge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pripremu sirovina, obradu, hlađenje i prerada sirovina (drobilice, mlinovi, sita, transportna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priprema i regeneracija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nodulizaciju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0,1 ng/normalni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električne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indukcione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rotacione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konvertori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neorganske materije 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0,05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kancerogene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fluor i njegova jedinjenja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monoksid (CO)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električne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na topli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rotacione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oksidi sumpora izraženi </w:t>
            </w:r>
            <w:r w:rsidRPr="00EB47ED">
              <w:rPr>
                <w:rFonts w:ascii="Arial" w:eastAsia="Times New Roman" w:hAnsi="Arial" w:cs="Arial"/>
                <w:lang w:eastAsia="sr-Latn-RS"/>
              </w:rPr>
              <w:lastRenderedPageBreak/>
              <w:t>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kupolne peći na topli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r w:rsidRPr="00EB47ED">
              <w:rPr>
                <w:rFonts w:ascii="Arial" w:eastAsia="Times New Roman" w:hAnsi="Arial" w:cs="Arial"/>
                <w:lang w:eastAsia="sr-Latn-RS"/>
              </w:rPr>
              <w:lastRenderedPageBreak/>
              <w:t>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na hladan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400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rotacione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130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regeneracija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120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na topli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na hladan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70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bez upotrebe koksa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400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električne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rotacione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regeneracija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kod pripreme i oblikovanja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kod pripreme i oblikovanja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postojeće livnice sivog livenog gvožđa (sivog liva), legiranog livenog gvožđa i čelika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34"/>
        <w:gridCol w:w="4366"/>
        <w:gridCol w:w="166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sa odsisavanjem gasa pri vrhu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sa odsisavanjem gasa pri dnu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indukcione peći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električne peći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konvertori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druge peći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finalizaciju proizvoda (drobilice, mlinovi, sita, transportna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neorganske materije 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0,2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karcinogene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fluor i njegova jedinjenja izražena kao fluorovodonik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monoksid (CO)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kupolne peći na topli vazduh sa rekuperatorom na drva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1000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0,5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48" w:name="str_29"/>
      <w:bookmarkEnd w:id="48"/>
      <w:r w:rsidRPr="00EB47ED">
        <w:rPr>
          <w:rFonts w:ascii="Arial" w:eastAsia="Times New Roman" w:hAnsi="Arial" w:cs="Arial"/>
          <w:b/>
          <w:bCs/>
          <w:sz w:val="24"/>
          <w:szCs w:val="24"/>
          <w:lang w:eastAsia="sr-Latn-RS"/>
        </w:rPr>
        <w:t xml:space="preserve">4. Postrojenja za proizvodnju sirovog gvožđa ili čelika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sirovog gvožđa ili čelika sa zapreminskim udelom kiseonika od 3% u otpadnom gasu u kauperu (gasnom konvertoru), odnosno iz visokih peći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proizvodnju sirovog gvožđa ili čelika u konvertorima, odnosno iz visokih peći,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49" w:name="str_30"/>
      <w:bookmarkEnd w:id="49"/>
      <w:r w:rsidRPr="00EB47ED">
        <w:rPr>
          <w:rFonts w:ascii="Arial" w:eastAsia="Times New Roman" w:hAnsi="Arial" w:cs="Arial"/>
          <w:b/>
          <w:bCs/>
          <w:sz w:val="24"/>
          <w:szCs w:val="24"/>
          <w:lang w:eastAsia="sr-Latn-RS"/>
        </w:rPr>
        <w:t xml:space="preserve">5. Postrojenja za proizvodnju sirovog gvožđa ili čelika kontinualnim livenjem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sirovog gvožđa ili čelika kontinualnim livenjem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950"/>
        <w:gridCol w:w="3533"/>
        <w:gridCol w:w="167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proizvodnja čelika u novim elektrolučnim pećima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fluor i njegova jedinjenja izražena kao fluorovodonik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elektrolučno topljenje pod šljakom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nove elektrolučne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0,2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proizvodnju sirovog gvožđa ili čelika kontinualnim livenjem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0" w:name="str_31"/>
      <w:bookmarkEnd w:id="50"/>
      <w:r w:rsidRPr="00EB47ED">
        <w:rPr>
          <w:rFonts w:ascii="Arial" w:eastAsia="Times New Roman" w:hAnsi="Arial" w:cs="Arial"/>
          <w:b/>
          <w:bCs/>
          <w:sz w:val="24"/>
          <w:szCs w:val="24"/>
          <w:lang w:eastAsia="sr-Latn-RS"/>
        </w:rPr>
        <w:t xml:space="preserve">6. Postrojenja za valjanje čelika, peći za zagrevanje i termičku obradu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valjanje čelika, peći za zagrevanje i termičku obradu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209"/>
        <w:gridCol w:w="3953"/>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bl>
    <w:p w:rsidR="00EB47ED" w:rsidRPr="00EB47ED" w:rsidRDefault="00EB47ED" w:rsidP="00EB47ED">
      <w:pPr>
        <w:spacing w:before="240" w:after="240" w:line="240" w:lineRule="auto"/>
        <w:jc w:val="center"/>
        <w:rPr>
          <w:rFonts w:ascii="Arial" w:eastAsia="Times New Roman" w:hAnsi="Arial" w:cs="Arial"/>
          <w:b/>
          <w:bCs/>
          <w:i/>
          <w:iCs/>
          <w:sz w:val="24"/>
          <w:szCs w:val="24"/>
          <w:lang w:eastAsia="sr-Latn-RS"/>
        </w:rPr>
      </w:pPr>
      <w:bookmarkStart w:id="51" w:name="str_32"/>
      <w:bookmarkEnd w:id="51"/>
      <w:r w:rsidRPr="00EB47ED">
        <w:rPr>
          <w:rFonts w:ascii="Arial" w:eastAsia="Times New Roman" w:hAnsi="Arial" w:cs="Arial"/>
          <w:b/>
          <w:bCs/>
          <w:i/>
          <w:iCs/>
          <w:sz w:val="24"/>
          <w:szCs w:val="24"/>
          <w:lang w:eastAsia="sr-Latn-RS"/>
        </w:rPr>
        <w:t xml:space="preserve">OBOJENA METALURGIJA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2" w:name="str_33"/>
      <w:bookmarkEnd w:id="52"/>
      <w:r w:rsidRPr="00EB47ED">
        <w:rPr>
          <w:rFonts w:ascii="Arial" w:eastAsia="Times New Roman" w:hAnsi="Arial" w:cs="Arial"/>
          <w:b/>
          <w:bCs/>
          <w:sz w:val="24"/>
          <w:szCs w:val="24"/>
          <w:lang w:eastAsia="sr-Latn-RS"/>
        </w:rPr>
        <w:t xml:space="preserve">1. Postrojenja za dobijanje olova i legura iz sekundarnih sirovina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dobijanje olova i legura iz sekundarnih sirovina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96"/>
        <w:gridCol w:w="2434"/>
        <w:gridCol w:w="223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arsen, izražen kao As, osim arsina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0,15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0,4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sumpor dioksid izražen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450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sumpor trioksid izražen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60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0,4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Granična vrednost emisije za postojeća postrojenja za dobijanje olova i legura iz sekundarnih sirovina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96"/>
        <w:gridCol w:w="2434"/>
        <w:gridCol w:w="223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arsen, izražen kao As, osim arsina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0,15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0,4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800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0,4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3" w:name="str_34"/>
      <w:bookmarkEnd w:id="53"/>
      <w:r w:rsidRPr="00EB47ED">
        <w:rPr>
          <w:rFonts w:ascii="Arial" w:eastAsia="Times New Roman" w:hAnsi="Arial" w:cs="Arial"/>
          <w:b/>
          <w:bCs/>
          <w:sz w:val="24"/>
          <w:szCs w:val="24"/>
          <w:lang w:eastAsia="sr-Latn-RS"/>
        </w:rPr>
        <w:t xml:space="preserve">2. Postrojenja za dobijanje ferolegura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dobijanje ferolegura u elektrotermičkim ili metalotermičkim procesima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4" w:name="str_35"/>
      <w:bookmarkEnd w:id="54"/>
      <w:r w:rsidRPr="00EB47ED">
        <w:rPr>
          <w:rFonts w:ascii="Arial" w:eastAsia="Times New Roman" w:hAnsi="Arial" w:cs="Arial"/>
          <w:b/>
          <w:bCs/>
          <w:sz w:val="24"/>
          <w:szCs w:val="24"/>
          <w:lang w:eastAsia="sr-Latn-RS"/>
        </w:rPr>
        <w:t xml:space="preserve">3. Postrojenja za dobijanje aluminijuma elektrolitičkim procesima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dobijanje aluminijuma elektrolitičkim procesima u ćelijama za elektrolizu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843"/>
        <w:gridCol w:w="2164"/>
        <w:gridCol w:w="2155"/>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Emisioni faktor (kg/t Al)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gasovita neorganska jedinjenja fluora izražena kao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5" w:name="str_36"/>
      <w:bookmarkEnd w:id="55"/>
      <w:r w:rsidRPr="00EB47ED">
        <w:rPr>
          <w:rFonts w:ascii="Arial" w:eastAsia="Times New Roman" w:hAnsi="Arial" w:cs="Arial"/>
          <w:b/>
          <w:bCs/>
          <w:sz w:val="24"/>
          <w:szCs w:val="24"/>
          <w:lang w:eastAsia="sr-Latn-RS"/>
        </w:rPr>
        <w:t xml:space="preserve">4. Postrojenja za proizvodnju anoda koje se koriste za proizvodnju aluminijuma u ćelijama za elektrolizu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655"/>
        <w:gridCol w:w="3765"/>
        <w:gridCol w:w="174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skladištenje i transport sirovine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sejanje, mlevenje, mešanje i oblikovanje anodne mase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gasovita neorganska jedinjenja fluora izražena kao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ugljenik izražen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skladištenje katranske smole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mešanje i oblikovanje anodne mase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PAH III (1)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500 µg/normalni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PAH II (2)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oblikovanje i mešanje anodne mase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100 µg/normalni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PAH I (3)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oblikovanje i mešanje anodne mase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10 µg/normalni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Oznake PAH III (1), PAH II (2) i PAH I (3) imaju sledeće značenje: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PAH III je grupa policikličnih aromatičnih ugljovodonika: piren, benzo (a) piren, dibenzo (a, h) antracen, benzo (a) antracen, benzo (b) fluoranten, benzo (k) fluoranten, krizen, indeno (1,2,3-cd) piren, benzo (ghi) perilen, naftalen, acenaftilen, acenaften, fluoren, fenantren, antracen, fluoranten;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PAH II je grupa policikličnih aromatičnih ugljovodonika benzo(a)piren, dibenzo (a, h) antracen, dibenzo (a) antracen, benzo (b) fluoranten, benzo (j) fluoranten, benzo (k) fluoranten, krizen, indeno (1,2,3-cd) piren, benzo (b) nafto (2,1-d) tiofen;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PAH I je grupa policikličnih aromatičnih ugljovodonika: benzo (a) piren, dibenzo (a, h) antracen.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655"/>
        <w:gridCol w:w="3765"/>
        <w:gridCol w:w="174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skladištenje i transport sirovine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sejanje, mlevenje, mešanje i oblikovanje anodne mase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gasovita neorganska jedinjenja fluora izražena kao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ugljenik izražen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skladištenje katranske smole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mešanje i oblikovanje anodne mase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PAH III (1)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500 µg/normalni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PAH II (2)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oblikovanje i mešanje anodne mase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100 µg/normalni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PAH I (3)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oblikovanje i mešanje anodne mase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10 µg/normalni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Oznake PAH III (1), PAH II (2) i PAH I (3) imaju sledeće značenje: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PAH III je grupa policikličnih aromatičnih ugljovodonika: piren, benzo (a) piren, dibenzo (a, h) antracen, benzo (a) antracen, benzo (b) fluoranten, benzo (k) fluoranten, krizen, indeno (1,2,3-cd) piren, benzo (ghi) perilen, naftalen, acenaftilen, acenaften, fluoren, fenantren, antracen, fluoranten;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PAH II je grupa policikličnih aromatičnih ugljovodonika benzo (a) piren, dibenzo (a, h) antracen, dibenzo (a) antracen, benzo (b) fluoranten, benzo (j) fluoranten, benzo (k) fluoranten, krizen, indeno (1,2,3-cd) piren, benzo (b) nafto (2,1-d) tiofen;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PAH I je grupa policikličnih aromatičnih ugljovodonika: benzo (a) piren, dibenzo (a, h) antracen.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6" w:name="str_37"/>
      <w:bookmarkEnd w:id="56"/>
      <w:r w:rsidRPr="00EB47ED">
        <w:rPr>
          <w:rFonts w:ascii="Arial" w:eastAsia="Times New Roman" w:hAnsi="Arial" w:cs="Arial"/>
          <w:b/>
          <w:bCs/>
          <w:sz w:val="24"/>
          <w:szCs w:val="24"/>
          <w:lang w:eastAsia="sr-Latn-RS"/>
        </w:rPr>
        <w:t xml:space="preserve">5. Postrojenja za proizvodnju aluminijuma iz sekundarnih sirovina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aluminijuma iz sekundarnih sirovina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19.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475"/>
        <w:gridCol w:w="4855"/>
        <w:gridCol w:w="183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proizvodnju aluminijuma iz sekundarnih sirovina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rotacione peći u kojima gorionici rade na čisti kiseonik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proizvodnju aluminijuma iz sekundarnih sirovina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0,1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proizvodnju aluminijuma iz sekundarnih sirovina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45"/>
        <w:gridCol w:w="471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(ng/normalni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procesu je zabranjena upotreba heksahloretana.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7" w:name="str_38"/>
      <w:bookmarkEnd w:id="57"/>
      <w:r w:rsidRPr="00EB47ED">
        <w:rPr>
          <w:rFonts w:ascii="Arial" w:eastAsia="Times New Roman" w:hAnsi="Arial" w:cs="Arial"/>
          <w:b/>
          <w:bCs/>
          <w:sz w:val="24"/>
          <w:szCs w:val="24"/>
          <w:lang w:eastAsia="sr-Latn-RS"/>
        </w:rPr>
        <w:t xml:space="preserve">6. Postrojenja za livenje aluminijuma i magnezijuma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nove livnice aluminijuma i magnezijuma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40"/>
        <w:gridCol w:w="2820"/>
        <w:gridCol w:w="1621"/>
        <w:gridCol w:w="1581"/>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trajni kalupi za livenje i preradu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livenje u trajne kalupe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monoksid (CO)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sumpor dioksid izražen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120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priprema i oblikovanje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postojeće livnice aluminijuma i magnezijuma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58"/>
        <w:gridCol w:w="3960"/>
        <w:gridCol w:w="1495"/>
        <w:gridCol w:w="154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uređaji za topljenje i livenje sa filter otprašivačima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uređaji za topljenje i livenje bez filter uređaja za finalizaciju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sumpor dioksid izražen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priprema i oblikovanje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nove livnice legura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710"/>
        <w:gridCol w:w="3301"/>
        <w:gridCol w:w="1504"/>
        <w:gridCol w:w="164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hlor (u slučaju rasplinjavanja sa hlorom)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fluor i njegova jedinjenja izražena kao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0,1 ng/normalni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priprema i oblikovanje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postojeće livnice legura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530"/>
        <w:gridCol w:w="3630"/>
        <w:gridCol w:w="1404"/>
        <w:gridCol w:w="1598"/>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uređaji za topljenje i livenje sa filter otprašivačima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uređaji za topljenje i livenje bez filter uređaja za finalizaciju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hlor (u slučaju </w:t>
            </w:r>
            <w:r w:rsidRPr="00EB47ED">
              <w:rPr>
                <w:rFonts w:ascii="Arial" w:eastAsia="Times New Roman" w:hAnsi="Arial" w:cs="Arial"/>
                <w:lang w:eastAsia="sr-Latn-RS"/>
              </w:rPr>
              <w:lastRenderedPageBreak/>
              <w:t xml:space="preserve">rasplinjavanja sa hlorom)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postrojenja za toplotni predtretman i </w:t>
            </w:r>
            <w:r w:rsidRPr="00EB47ED">
              <w:rPr>
                <w:rFonts w:ascii="Arial" w:eastAsia="Times New Roman" w:hAnsi="Arial" w:cs="Arial"/>
                <w:lang w:eastAsia="sr-Latn-RS"/>
              </w:rPr>
              <w:lastRenderedPageBreak/>
              <w:t xml:space="preserve">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r w:rsidRPr="00EB47ED">
              <w:rPr>
                <w:rFonts w:ascii="Arial" w:eastAsia="Times New Roman" w:hAnsi="Arial" w:cs="Arial"/>
                <w:lang w:eastAsia="sr-Latn-RS"/>
              </w:rPr>
              <w:lastRenderedPageBreak/>
              <w:t>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fluor i njegova jedinjenja izražena kao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0,5 ng/normalni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toplotni predtretman i peći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priprema i oblikovanje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izražene kao ukupni ugljenik iz Priloga 2. ove uredbe ne primenjuju se.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8" w:name="str_39"/>
      <w:bookmarkEnd w:id="58"/>
      <w:r w:rsidRPr="00EB47ED">
        <w:rPr>
          <w:rFonts w:ascii="Arial" w:eastAsia="Times New Roman" w:hAnsi="Arial" w:cs="Arial"/>
          <w:b/>
          <w:bCs/>
          <w:sz w:val="24"/>
          <w:szCs w:val="24"/>
          <w:lang w:eastAsia="sr-Latn-RS"/>
        </w:rPr>
        <w:t xml:space="preserve">7. Postrojenja za valjanje obojenih metala, peći za zagrevanje i termičku obradu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valjanje obojenih metala, peći za zagrevanje i termičku obradu sa zapreminskim udelom kiseonika od 5% u otpadnom gasu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63"/>
        <w:gridCol w:w="399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valjanje obojenih metala, peći za zagrevanje i termičku obradu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63"/>
        <w:gridCol w:w="399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59" w:name="str_40"/>
      <w:bookmarkEnd w:id="59"/>
      <w:r w:rsidRPr="00EB47ED">
        <w:rPr>
          <w:rFonts w:ascii="Arial" w:eastAsia="Times New Roman" w:hAnsi="Arial" w:cs="Arial"/>
          <w:b/>
          <w:bCs/>
          <w:sz w:val="24"/>
          <w:szCs w:val="24"/>
          <w:lang w:eastAsia="sr-Latn-RS"/>
        </w:rPr>
        <w:t xml:space="preserve">8. Postrojenja za topljenje, livenje i rafinisanje obojenih metala i njihovih legura, izuzev aluminijuma i magnezijuma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topljenje, livenje ili rafinisanje obojenih metala i njihovih legura, izuzev aluminijuma i magnezijuma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64"/>
        <w:gridCol w:w="4117"/>
        <w:gridCol w:w="1323"/>
        <w:gridCol w:w="1558"/>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500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topljenje, livenje ili rafinaciju obojenih metala osim aluminijuma i magnezijuma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neorganske praškaste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rafinaciju olova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topljenje, livenje ili rafinaciju obojenih metala osim aluminijuma i magnezijuma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0,4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 ostale neorganske praškaste materije primenjuju se granične vrednosti emisije iz Priloga 2.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procesu je zabranjena upotreba heksahloretana.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0" w:name="str_41"/>
      <w:bookmarkEnd w:id="60"/>
      <w:r w:rsidRPr="00EB47ED">
        <w:rPr>
          <w:rFonts w:ascii="Arial" w:eastAsia="Times New Roman" w:hAnsi="Arial" w:cs="Arial"/>
          <w:b/>
          <w:bCs/>
          <w:sz w:val="24"/>
          <w:szCs w:val="24"/>
          <w:lang w:eastAsia="sr-Latn-RS"/>
        </w:rPr>
        <w:t xml:space="preserve">9. Postrojenje za topljenje aluminijuma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topljenje aluminijuma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63"/>
        <w:gridCol w:w="399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60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1" w:name="str_42"/>
      <w:bookmarkEnd w:id="61"/>
      <w:r w:rsidRPr="00EB47ED">
        <w:rPr>
          <w:rFonts w:ascii="Arial" w:eastAsia="Times New Roman" w:hAnsi="Arial" w:cs="Arial"/>
          <w:b/>
          <w:bCs/>
          <w:sz w:val="24"/>
          <w:szCs w:val="24"/>
          <w:lang w:eastAsia="sr-Latn-RS"/>
        </w:rPr>
        <w:t xml:space="preserve">10. Postrojenja za proizvodnju obojenih metala iz ruda, koncentrata ili sekundarnih sirovina u metalurškim, hemijskim ili elektrolitičkim postupcima, izuzev aluminijuma i legura gvožđa, kao i olova i njegovih legura iz sekundarnih sirovina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obojenih metala izuzev aluminijuma i legura gvožđa za zadati zapreminski udeo kiseonika od 3%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29.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421"/>
        <w:gridCol w:w="3738"/>
        <w:gridCol w:w="1388"/>
        <w:gridCol w:w="1615"/>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topljenje olova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2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arsen, osim arsina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0,15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anodna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0,4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sumpor dioksid izražen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350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sumpor trioksid izražen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60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0,4 ng/normalni m</w:t>
            </w:r>
            <w:r w:rsidRPr="00EB47ED">
              <w:rPr>
                <w:rFonts w:ascii="Arial" w:eastAsia="Times New Roman" w:hAnsi="Arial" w:cs="Arial"/>
                <w:sz w:val="15"/>
                <w:szCs w:val="15"/>
                <w:vertAlign w:val="superscript"/>
                <w:lang w:eastAsia="sr-Latn-RS"/>
              </w:rPr>
              <w:t>3</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dobijanje obojenih metala izuzev aluminijuma i legura gvožđa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85"/>
        <w:gridCol w:w="377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 nove topionice bakra iz sekundarnih sirovina, granična vrednost emisije za dioksine i furane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45"/>
        <w:gridCol w:w="471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(ng/normalni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0,1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 postojeće topionice bakra iz sekundarnih sirovina, granična vrednost emisije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45"/>
        <w:gridCol w:w="471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(ng/normalni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0,5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2" w:name="str_43"/>
      <w:bookmarkEnd w:id="62"/>
      <w:r w:rsidRPr="00EB47ED">
        <w:rPr>
          <w:rFonts w:ascii="Arial" w:eastAsia="Times New Roman" w:hAnsi="Arial" w:cs="Arial"/>
          <w:b/>
          <w:bCs/>
          <w:sz w:val="24"/>
          <w:szCs w:val="24"/>
          <w:lang w:eastAsia="sr-Latn-RS"/>
        </w:rPr>
        <w:lastRenderedPageBreak/>
        <w:t xml:space="preserve">11. Postrojenja za toplo cinkovanje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toplo cinkovanje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738"/>
        <w:gridCol w:w="2293"/>
        <w:gridCol w:w="2131"/>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kade za toplo cinkovanje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gasovita neorganska jedinjenja hlora izražena kao HCl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toplo cinkovanje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738"/>
        <w:gridCol w:w="2293"/>
        <w:gridCol w:w="2131"/>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kade za toplo cinkovanje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gasovita neorganska jedinjenja hlora izražena kao HCl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63" w:name="str_44"/>
      <w:bookmarkEnd w:id="63"/>
      <w:r w:rsidRPr="00EB47ED">
        <w:rPr>
          <w:rFonts w:ascii="Arial" w:eastAsia="Times New Roman" w:hAnsi="Arial" w:cs="Arial"/>
          <w:sz w:val="31"/>
          <w:szCs w:val="31"/>
          <w:lang w:eastAsia="sr-Latn-RS"/>
        </w:rPr>
        <w:t xml:space="preserve">Deo III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MINERALNA INDUSTRIJA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4" w:name="str_45"/>
      <w:bookmarkEnd w:id="64"/>
      <w:r w:rsidRPr="00EB47ED">
        <w:rPr>
          <w:rFonts w:ascii="Arial" w:eastAsia="Times New Roman" w:hAnsi="Arial" w:cs="Arial"/>
          <w:b/>
          <w:bCs/>
          <w:sz w:val="24"/>
          <w:szCs w:val="24"/>
          <w:lang w:eastAsia="sr-Latn-RS"/>
        </w:rPr>
        <w:t xml:space="preserve">1. Postrojenja za proizvodnju cementa i cementnog klinkera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cementa i cementnog klinkera u rotacionim pećima suvim ili mokrim postupkom, sa zapreminskim udelom kiseonika od 10%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85"/>
        <w:gridCol w:w="377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neorganske gasovite materije data u Prilogu 2. ove uredbe ne primenjuje se na amonijak.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date u Prilogu 2. ove uredbe ne primenjuju se.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Granična vrednost emisije kod postojećih postrojenja za proizvodnju cementa i cementnog klinkera u rotacionim pećima, sa zapreminskim udelom kiseonika od 10%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85"/>
        <w:gridCol w:w="377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1200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5" w:name="str_46"/>
      <w:bookmarkEnd w:id="65"/>
      <w:r w:rsidRPr="00EB47ED">
        <w:rPr>
          <w:rFonts w:ascii="Arial" w:eastAsia="Times New Roman" w:hAnsi="Arial" w:cs="Arial"/>
          <w:b/>
          <w:bCs/>
          <w:sz w:val="24"/>
          <w:szCs w:val="24"/>
          <w:lang w:eastAsia="sr-Latn-RS"/>
        </w:rPr>
        <w:t xml:space="preserve">2. Postrojenja za pečenje boksita, dolomita, magnezita, krečnjaka, gipsa, dijatomejske zemlje, kvarcita i šamota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Kod postrojenja za proizvodnju hidrantnog krečnjaka ili hidrantnog dolomita granične vrednosti emisije odnose se na vlažni otpadni gas.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pečenje boksita, dolomita, magnezita, vapnenca, gipsa, diatomejske zemlje, kvarcita i šamota, sa zapreminskim udelom kiseonika od 10%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639"/>
        <w:gridCol w:w="4577"/>
        <w:gridCol w:w="1147"/>
        <w:gridCol w:w="179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pečenje boksita, dolomita, magnezita, vapnenca, gipsa, diatomejske zemlje, kvarcita i šamota pri upotrebi elektrostatičkih filtera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(polusatna srednja vrednost)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pečenje boksita, dolomita, magnezita, vapnenca, gipsa, diatomejske zemlje, kvarcita i šamota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proizvodnju kreča ili sinterovanja dolomita u rotacionim pećima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vodonik sulfid (H</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postojeće peći za kreč sa mešanim gorivima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Kod rotacionih peći za pečenje gipsa, masenu koncentraciju oksida sumpora, izraženih kao SO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i oksida azota, izraženih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za rad sa recikliranim otpadnim gasom, treba preračunati na zapreminski protok bez recikliranog otpadnog gasa.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6" w:name="str_47"/>
      <w:bookmarkEnd w:id="66"/>
      <w:r w:rsidRPr="00EB47ED">
        <w:rPr>
          <w:rFonts w:ascii="Arial" w:eastAsia="Times New Roman" w:hAnsi="Arial" w:cs="Arial"/>
          <w:b/>
          <w:bCs/>
          <w:sz w:val="24"/>
          <w:szCs w:val="24"/>
          <w:lang w:eastAsia="sr-Latn-RS"/>
        </w:rPr>
        <w:t xml:space="preserve">3. Postrojenja za tretiranje perlita, škriljaca i gline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tretiranje perlita, škriljaca i gline u vlažnom otpadnom gasu uz zadati zapreminski udeo kiseonika od 14%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85"/>
        <w:gridCol w:w="377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750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karcinogene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7" w:name="str_48"/>
      <w:bookmarkEnd w:id="67"/>
      <w:r w:rsidRPr="00EB47ED">
        <w:rPr>
          <w:rFonts w:ascii="Arial" w:eastAsia="Times New Roman" w:hAnsi="Arial" w:cs="Arial"/>
          <w:b/>
          <w:bCs/>
          <w:sz w:val="24"/>
          <w:szCs w:val="24"/>
          <w:lang w:eastAsia="sr-Latn-RS"/>
        </w:rPr>
        <w:t xml:space="preserve">4. Postrojenja za proizvodnju stakla i staklenih vlakana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stakla i staklenih vlakana u otpadnom gasu sa 8% (za peći za topljenje stakla kod kojih se zagrevanje vrši plamenom), odnosno 13% zapreminskog udela kiseonika (za kadne dnevne peći)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39.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787"/>
        <w:gridCol w:w="3385"/>
        <w:gridCol w:w="1167"/>
        <w:gridCol w:w="1823"/>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gasovita neorganska jedinjenja fluora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 proizvodnji ambalažnog stakla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proizvodnju stakla i staklenih vlakana pri upotrebi elektrostatičkih filtera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(polusatna srednja vrednost)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karcinogene materije 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Kod novih kadnih peći kod kojih se gorionik nalazi na prednjoj strani i kadnih peći sa poprečno postavljenim gorionicima sa zapreminskim protokom otpadnog gasa manjim od 50 000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/h granična vrednost emisije za okside azota je 800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Kod novih postrojenja ako je prisutno nekoliko zagađujućih materija iz II klase praškastih neorganskih materija, granična vrednost emisije zagađujućih materija iz ove klase iznosi ukupno 1,3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Kod novih postrojenja ako su prisutne zagađujuće materije iz različitih klasa opasnosti, granična vrednost emisije za klasu II i III i klasu I i III praškastih neorganskih materija iznosi 2,3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Granična vrednost emisije za okside sumpora izražene kao SO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za nova i postojeća postrojenja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73"/>
        <w:gridCol w:w="1437"/>
        <w:gridCol w:w="1437"/>
        <w:gridCol w:w="4715"/>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proizvodnju </w:t>
            </w:r>
            <w:r w:rsidRPr="00EB47ED">
              <w:rPr>
                <w:rFonts w:ascii="Arial" w:eastAsia="Times New Roman" w:hAnsi="Arial" w:cs="Arial"/>
                <w:lang w:eastAsia="sr-Latn-RS"/>
              </w:rPr>
              <w:lastRenderedPageBreak/>
              <w:t xml:space="preserve">stakla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Gasovito gorivo</w:t>
            </w:r>
            <w:r w:rsidRPr="00EB47ED">
              <w:rPr>
                <w:rFonts w:ascii="Arial" w:eastAsia="Times New Roman" w:hAnsi="Arial" w:cs="Arial"/>
                <w:lang w:eastAsia="sr-Latn-RS"/>
              </w:rPr>
              <w:br/>
            </w:r>
            <w:r w:rsidRPr="00EB47ED">
              <w:rPr>
                <w:rFonts w:ascii="Arial" w:eastAsia="Times New Roman" w:hAnsi="Arial" w:cs="Arial"/>
                <w:lang w:eastAsia="sr-Latn-RS"/>
              </w:rPr>
              <w:lastRenderedPageBreak/>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Tečno gorivo</w:t>
            </w:r>
            <w:r w:rsidRPr="00EB47ED">
              <w:rPr>
                <w:rFonts w:ascii="Arial" w:eastAsia="Times New Roman" w:hAnsi="Arial" w:cs="Arial"/>
                <w:lang w:eastAsia="sr-Latn-RS"/>
              </w:rPr>
              <w:br/>
              <w:t xml:space="preserve">(mg/normalni </w:t>
            </w:r>
            <w:r w:rsidRPr="00EB47ED">
              <w:rPr>
                <w:rFonts w:ascii="Arial" w:eastAsia="Times New Roman" w:hAnsi="Arial" w:cs="Arial"/>
                <w:lang w:eastAsia="sr-Latn-RS"/>
              </w:rPr>
              <w:lastRenderedPageBreak/>
              <w:t>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Radni uslovi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Ambalažno staklo ili ravno staklo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Ambalažno staklo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Rad pri približno stehiometrijskim uslovima za primarno smanjenje NO</w:t>
            </w:r>
            <w:r w:rsidRPr="00EB47ED">
              <w:rPr>
                <w:rFonts w:ascii="Arial" w:eastAsia="Times New Roman" w:hAnsi="Arial" w:cs="Arial"/>
                <w:sz w:val="15"/>
                <w:szCs w:val="15"/>
                <w:vertAlign w:val="subscript"/>
                <w:lang w:eastAsia="sr-Latn-RS"/>
              </w:rPr>
              <w:t>X</w:t>
            </w:r>
            <w:r w:rsidRPr="00EB47ED">
              <w:rPr>
                <w:rFonts w:ascii="Arial" w:eastAsia="Times New Roman" w:hAnsi="Arial" w:cs="Arial"/>
                <w:lang w:eastAsia="sr-Latn-RS"/>
              </w:rPr>
              <w:t xml:space="preserve">, recirkulacija praškastih materija izdvojenih na filtru, izdvajanje sulfata, kao i korišćenje više od 40% masenih sekundarnog stakla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Ravno staklo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Rad pri približno stehiometrijskim uslovima za primarno smanjenje NO</w:t>
            </w:r>
            <w:r w:rsidRPr="00EB47ED">
              <w:rPr>
                <w:rFonts w:ascii="Arial" w:eastAsia="Times New Roman" w:hAnsi="Arial" w:cs="Arial"/>
                <w:sz w:val="15"/>
                <w:szCs w:val="15"/>
                <w:vertAlign w:val="subscript"/>
                <w:lang w:eastAsia="sr-Latn-RS"/>
              </w:rPr>
              <w:t>X</w:t>
            </w:r>
            <w:r w:rsidRPr="00EB47ED">
              <w:rPr>
                <w:rFonts w:ascii="Arial" w:eastAsia="Times New Roman" w:hAnsi="Arial" w:cs="Arial"/>
                <w:lang w:eastAsia="sr-Latn-RS"/>
              </w:rPr>
              <w:t xml:space="preserve">, recirkulacija praškastih materija izdvojenih na filtru i udeo sulfata neophodan za proizvodnju stakla veći od 0,45% masenih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Staklo za posude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Staklo za posude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Rad pri približno stehiometrijskim uslovima za primarno smanjenje NO</w:t>
            </w:r>
            <w:r w:rsidRPr="00EB47ED">
              <w:rPr>
                <w:rFonts w:ascii="Arial" w:eastAsia="Times New Roman" w:hAnsi="Arial" w:cs="Arial"/>
                <w:sz w:val="15"/>
                <w:szCs w:val="15"/>
                <w:vertAlign w:val="subscript"/>
                <w:lang w:eastAsia="sr-Latn-RS"/>
              </w:rPr>
              <w:t>X</w:t>
            </w:r>
            <w:r w:rsidRPr="00EB47ED">
              <w:rPr>
                <w:rFonts w:ascii="Arial" w:eastAsia="Times New Roman" w:hAnsi="Arial" w:cs="Arial"/>
                <w:lang w:eastAsia="sr-Latn-RS"/>
              </w:rPr>
              <w:t xml:space="preserve">, recirkulacija praškastih materija izdvojenih na filtru i udeo sulfata neophodan za proizvodnju stakla veći od 0,45% masenih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Staklena vlakna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Staklena vlakna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Potpuna recirkulacija praškastih materija izdvojenih na filtru i udeo sulfata neophodan za proizvodnju stakla veći od 0,40% masenih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Staklena vuna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Staklena vuna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Korišćenje više od 40% masenih sekundarnog stakla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Posebna vrsta stakla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Posebna vrsta stakla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Potpuna recirkulacija praškastih materija izdvojenih na filtru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Vodeno staklo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Frite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Ako se zbog kvaliteta stakla koriste olovo ili selen, primenjuju se granične vrednosti emisije za praškaste neorganske materije date u Prilogu 2 ove uredbe. Granična vrednost emisije za praškaste neorganske materije II klase iznosi 3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nova i postojeća postrojenja. Ukoliko su prisutne zagađujuće materije iz više klasa, granična vrednost emisije za klasu II i III i klasu I i III praškastih neorganskih materija iznosi 4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U postupku nitratnog prečišćavanja granična vrednost emisije za azot monoksid i azot dioksid u otpadnom gasu, izraženi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kod novih postrojenja, iznosi 1000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proizvodnju stakla i staklenih vlakana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Tabela 41.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63"/>
        <w:gridCol w:w="399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Za postojeća postrojenja, u postupku nitratnog prečišćavanja granična vrednost emisije za azot monoksid i azot dioksid u otpadnom gasu, izraženi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002"/>
        <w:gridCol w:w="3834"/>
        <w:gridCol w:w="2326"/>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zapreminski protok otpadnog gasa </w:t>
            </w:r>
            <w:r w:rsidRPr="00EB47ED">
              <w:rPr>
                <w:rFonts w:ascii="Arial" w:eastAsia="Times New Roman" w:hAnsi="Arial" w:cs="Arial"/>
                <w:lang w:eastAsia="sr-Latn-RS"/>
              </w:rPr>
              <w:br/>
              <w:t>(normalni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&lt;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1200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8" w:name="str_49"/>
      <w:bookmarkEnd w:id="68"/>
      <w:r w:rsidRPr="00EB47ED">
        <w:rPr>
          <w:rFonts w:ascii="Arial" w:eastAsia="Times New Roman" w:hAnsi="Arial" w:cs="Arial"/>
          <w:b/>
          <w:bCs/>
          <w:sz w:val="24"/>
          <w:szCs w:val="24"/>
          <w:lang w:eastAsia="sr-Latn-RS"/>
        </w:rPr>
        <w:t xml:space="preserve">5. Postrojenja za topljenje mineralnih materija, uključujući proizvodnju mineralnih vlakana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topljenje mineralnih materija, uključujući postrojenja za proizvodnju mineralnih vlakana u otpadnom gasu sa zapreminskim udelom kiseonika 8%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871"/>
        <w:gridCol w:w="4679"/>
        <w:gridCol w:w="161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gasovita neorganska jedinjenja fluora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topljenje mineralnih materija i proizvodnju mineralnih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topljenje mineralnih materija i proizvodnju mineralnih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 proizvodnji kamene vune isključivo za korišćenje prirodnog kamena ili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600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korišćenje 45% masenih mineralno kombinovanih cigli, što se odnosi na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1100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korišćenje 45% masenih ili više mineralno kombinovanih cigli, što se odnosi na smeše i uz punu recirkulaciju filtera za 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topljenje mineralnih materija, uključujući postrojenja za proizvodnju mineralnih vlakana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14"/>
        <w:gridCol w:w="5571"/>
        <w:gridCol w:w="167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 proizvodnji kamene vune isključivo za korišćenje prirodnog kamena ili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600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korišćenje 45% masenih mineralno kombinovanih cigli, što se odnosi na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1100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korišćenje 45% masenih ili više mineralno kombinovanih cigli, što se odnosi na smeše i uz punu recirkulaciju filtera za 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Za postojeća postrojenja, u postupku nitratnog prečišćavanja granična vrednost emisije za azot monoksid i azot dioksid u otpadnom gasu, izražene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615"/>
        <w:gridCol w:w="2747"/>
        <w:gridCol w:w="280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zapreminski protok </w:t>
            </w:r>
            <w:r w:rsidRPr="00EB47ED">
              <w:rPr>
                <w:rFonts w:ascii="Arial" w:eastAsia="Times New Roman" w:hAnsi="Arial" w:cs="Arial"/>
                <w:lang w:eastAsia="sr-Latn-RS"/>
              </w:rPr>
              <w:br/>
              <w:t>(normalni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&lt;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1200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69" w:name="str_50"/>
      <w:bookmarkEnd w:id="69"/>
      <w:r w:rsidRPr="00EB47ED">
        <w:rPr>
          <w:rFonts w:ascii="Arial" w:eastAsia="Times New Roman" w:hAnsi="Arial" w:cs="Arial"/>
          <w:b/>
          <w:bCs/>
          <w:sz w:val="24"/>
          <w:szCs w:val="24"/>
          <w:lang w:eastAsia="sr-Latn-RS"/>
        </w:rPr>
        <w:t xml:space="preserve">6. Postrojenja za proizvodnju keramičkih proizvoda pečenjem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keramičkih proizvoda pečenjem na bazi gline u otpadnom gasu sa zapreminskim udelom kiseonika od 17%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710"/>
        <w:gridCol w:w="1191"/>
        <w:gridCol w:w="1281"/>
        <w:gridCol w:w="39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atomizeri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(ukoliko se za prečišćavanje vazduha koriste vrećasti filteri)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(ukoliko se za prečišćavanje vazduha koristi ciklon u kombinaciji sa vlažnim otprašivačem)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&lt;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fluor i jedinjenja fluora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hlor i jedinjenja hlora </w:t>
            </w:r>
            <w:r w:rsidRPr="00EB47ED">
              <w:rPr>
                <w:rFonts w:ascii="Arial" w:eastAsia="Times New Roman" w:hAnsi="Arial" w:cs="Arial"/>
                <w:lang w:eastAsia="sr-Latn-RS"/>
              </w:rPr>
              <w:lastRenderedPageBreak/>
              <w:t xml:space="preserve">izražena kao hlorovodonik-HCl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pečenje keramičkih proizvoda na bazi gline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584"/>
        <w:gridCol w:w="1191"/>
        <w:gridCol w:w="438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atomizeri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(ukoliko se za prečišćavanje vazduha koriste vrećasti filteri)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(ukoliko se za prečišćavanje vazduha koristi ciklon u kombinaciji sa vlažnim otprašivačem)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pri udelu sumpora u sirovini do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pri udelu sumpora u sirovini 12% i više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fluor i jedinjenja fluora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hlor i jedinjenja hlora izražena kao hlorovodonik-HSl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 i II klase date u Prilogu 2. ove uredbe ne primenjuju se na nova i postojeća postrojenja iz ove tačke.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70" w:name="str_51"/>
      <w:bookmarkEnd w:id="70"/>
      <w:r w:rsidRPr="00EB47ED">
        <w:rPr>
          <w:rFonts w:ascii="Arial" w:eastAsia="Times New Roman" w:hAnsi="Arial" w:cs="Arial"/>
          <w:sz w:val="31"/>
          <w:szCs w:val="31"/>
          <w:lang w:eastAsia="sr-Latn-RS"/>
        </w:rPr>
        <w:t xml:space="preserve">Deo IV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HEMIJSKA INDUSTRIJA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nova postrojenja iz Dela IV ovog priloga za koja nije propisana posebna granična vrednost emisije za praškaste materije, primenjuje se granična vrednost emisije iz Priloga 2.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Na postojeća postrojenja iz Dela IV ovog priloga primenjuju se sledeće granične vrednosti emisije za praškaste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- 0,20 kg/h (200 g/h) za šaržni rad postrojenja;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- 50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kontinualni rad postrojenja,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izuzev za ona postrojenja za koja su posebno propisane granične vrednosti emisije u Delu IV ovog priloga.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1" w:name="str_52"/>
      <w:bookmarkEnd w:id="71"/>
      <w:r w:rsidRPr="00EB47ED">
        <w:rPr>
          <w:rFonts w:ascii="Arial" w:eastAsia="Times New Roman" w:hAnsi="Arial" w:cs="Arial"/>
          <w:b/>
          <w:bCs/>
          <w:sz w:val="24"/>
          <w:szCs w:val="24"/>
          <w:lang w:eastAsia="sr-Latn-RS"/>
        </w:rPr>
        <w:t xml:space="preserve">1. Postrojenja za oksidaciju cikloheksana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oksidaciju cikloheksana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2" w:name="str_53"/>
      <w:bookmarkEnd w:id="72"/>
      <w:r w:rsidRPr="00EB47ED">
        <w:rPr>
          <w:rFonts w:ascii="Arial" w:eastAsia="Times New Roman" w:hAnsi="Arial" w:cs="Arial"/>
          <w:b/>
          <w:bCs/>
          <w:sz w:val="24"/>
          <w:szCs w:val="24"/>
          <w:lang w:eastAsia="sr-Latn-RS"/>
        </w:rPr>
        <w:t xml:space="preserve">2. Postrojenja za proizvodnju akrilonitrila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akrilonitrila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49.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akrilonitril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0,2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3" w:name="str_54"/>
      <w:bookmarkEnd w:id="73"/>
      <w:r w:rsidRPr="00EB47ED">
        <w:rPr>
          <w:rFonts w:ascii="Arial" w:eastAsia="Times New Roman" w:hAnsi="Arial" w:cs="Arial"/>
          <w:b/>
          <w:bCs/>
          <w:sz w:val="24"/>
          <w:szCs w:val="24"/>
          <w:lang w:eastAsia="sr-Latn-RS"/>
        </w:rPr>
        <w:t xml:space="preserve">3. Postrojenja za proizvodnju kaprolaktama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kaprolaktama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kaprolaktam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4" w:name="str_55"/>
      <w:bookmarkEnd w:id="74"/>
      <w:r w:rsidRPr="00EB47ED">
        <w:rPr>
          <w:rFonts w:ascii="Arial" w:eastAsia="Times New Roman" w:hAnsi="Arial" w:cs="Arial"/>
          <w:b/>
          <w:bCs/>
          <w:sz w:val="24"/>
          <w:szCs w:val="24"/>
          <w:lang w:eastAsia="sr-Latn-RS"/>
        </w:rPr>
        <w:t xml:space="preserve">4. Postrojenja za proizvodnju polivinil-hlorida (PVC)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polivinil-hlorida (PVC) na mestu prelaza iz zatvorenog u otvoreni sistem (obrada i sušenje)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895"/>
        <w:gridCol w:w="326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Granični mesečni emisioni faktor </w:t>
            </w:r>
            <w:r w:rsidRPr="00EB47ED">
              <w:rPr>
                <w:rFonts w:ascii="Arial" w:eastAsia="Times New Roman" w:hAnsi="Arial" w:cs="Arial"/>
                <w:lang w:eastAsia="sr-Latn-RS"/>
              </w:rPr>
              <w:br/>
            </w:r>
            <w:r w:rsidRPr="00EB47ED">
              <w:rPr>
                <w:rFonts w:ascii="Arial" w:eastAsia="Times New Roman" w:hAnsi="Arial" w:cs="Arial"/>
                <w:lang w:eastAsia="sr-Latn-RS"/>
              </w:rPr>
              <w:lastRenderedPageBreak/>
              <w:t xml:space="preserve">(mgVC/kg PVC)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vinil-hlorid kod suspenzijske polimerizacije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vinil-hlorid kod emulzione i mikrosuspenzione polimerizacije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5" w:name="str_56"/>
      <w:bookmarkEnd w:id="75"/>
      <w:r w:rsidRPr="00EB47ED">
        <w:rPr>
          <w:rFonts w:ascii="Arial" w:eastAsia="Times New Roman" w:hAnsi="Arial" w:cs="Arial"/>
          <w:b/>
          <w:bCs/>
          <w:sz w:val="24"/>
          <w:szCs w:val="24"/>
          <w:lang w:eastAsia="sr-Latn-RS"/>
        </w:rPr>
        <w:t xml:space="preserve">5. Postrojenja za proizvodnju i preradu viskoze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i preradu viskoze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396"/>
        <w:gridCol w:w="4153"/>
        <w:gridCol w:w="2613"/>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vodonik sulfid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proizvodnja creva i sunđerastih krpa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disulfid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vodonik sulfid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proizvodnja tekstilne viskoze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disulfid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6" w:name="str_57"/>
      <w:bookmarkEnd w:id="76"/>
      <w:r w:rsidRPr="00EB47ED">
        <w:rPr>
          <w:rFonts w:ascii="Arial" w:eastAsia="Times New Roman" w:hAnsi="Arial" w:cs="Arial"/>
          <w:b/>
          <w:bCs/>
          <w:sz w:val="24"/>
          <w:szCs w:val="24"/>
          <w:lang w:eastAsia="sr-Latn-RS"/>
        </w:rPr>
        <w:t xml:space="preserve">6. Postrojenja za proizvodnju azotne kiseline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azotne kiseline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63"/>
        <w:gridCol w:w="399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azot suboksid (N</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7" w:name="str_58"/>
      <w:bookmarkEnd w:id="77"/>
      <w:r w:rsidRPr="00EB47ED">
        <w:rPr>
          <w:rFonts w:ascii="Arial" w:eastAsia="Times New Roman" w:hAnsi="Arial" w:cs="Arial"/>
          <w:b/>
          <w:bCs/>
          <w:sz w:val="24"/>
          <w:szCs w:val="24"/>
          <w:lang w:eastAsia="sr-Latn-RS"/>
        </w:rPr>
        <w:t xml:space="preserve">7. Postrojenja za proizvodnju sumpor dioksida, sumpor trioksida, sumporne kiseline i oleuma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sumpor dioksida, sumpor trioksida, sumporne kiseline i oleuma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087"/>
        <w:gridCol w:w="7075"/>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sumpor trioksid (SO</w:t>
            </w:r>
            <w:r w:rsidRPr="00EB47ED">
              <w:rPr>
                <w:rFonts w:ascii="Arial" w:eastAsia="Times New Roman" w:hAnsi="Arial" w:cs="Arial"/>
                <w:sz w:val="15"/>
                <w:szCs w:val="15"/>
                <w:vertAlign w:val="subscript"/>
                <w:lang w:eastAsia="sr-Latn-RS"/>
              </w:rPr>
              <w:t>3</w:t>
            </w: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60 (kod postupaka sa konstantnom koncentracijom SO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u ulaznim gasovima)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sumpor trioksid (SO</w:t>
            </w:r>
            <w:r w:rsidRPr="00EB47ED">
              <w:rPr>
                <w:rFonts w:ascii="Arial" w:eastAsia="Times New Roman" w:hAnsi="Arial" w:cs="Arial"/>
                <w:sz w:val="15"/>
                <w:szCs w:val="15"/>
                <w:vertAlign w:val="subscript"/>
                <w:lang w:eastAsia="sr-Latn-RS"/>
              </w:rPr>
              <w:t>3</w:t>
            </w: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120 (u drugim slučajevima)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8" w:name="str_59"/>
      <w:bookmarkEnd w:id="78"/>
      <w:r w:rsidRPr="00EB47ED">
        <w:rPr>
          <w:rFonts w:ascii="Arial" w:eastAsia="Times New Roman" w:hAnsi="Arial" w:cs="Arial"/>
          <w:b/>
          <w:bCs/>
          <w:sz w:val="24"/>
          <w:szCs w:val="24"/>
          <w:lang w:eastAsia="sr-Latn-RS"/>
        </w:rPr>
        <w:t xml:space="preserve">8. Postrojenja za proizvodnju natrijum karbonata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natrijum karbonata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Tabela 55.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79" w:name="str_60"/>
      <w:bookmarkEnd w:id="79"/>
      <w:r w:rsidRPr="00EB47ED">
        <w:rPr>
          <w:rFonts w:ascii="Arial" w:eastAsia="Times New Roman" w:hAnsi="Arial" w:cs="Arial"/>
          <w:b/>
          <w:bCs/>
          <w:sz w:val="24"/>
          <w:szCs w:val="24"/>
          <w:lang w:eastAsia="sr-Latn-RS"/>
        </w:rPr>
        <w:t xml:space="preserve">9. Postrojenja za proizvodnju fosforne kiseline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fosforne kiseline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742"/>
        <w:gridCol w:w="2556"/>
        <w:gridCol w:w="1806"/>
        <w:gridCol w:w="2058"/>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Emisioni faktor</w:t>
            </w:r>
            <w:r w:rsidRPr="00EB47ED">
              <w:rPr>
                <w:rFonts w:ascii="Arial" w:eastAsia="Times New Roman" w:hAnsi="Arial" w:cs="Arial"/>
                <w:lang w:eastAsia="sr-Latn-RS"/>
              </w:rPr>
              <w:br/>
              <w:t>(kg/t P</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O</w:t>
            </w:r>
            <w:r w:rsidRPr="00EB47ED">
              <w:rPr>
                <w:rFonts w:ascii="Arial" w:eastAsia="Times New Roman" w:hAnsi="Arial" w:cs="Arial"/>
                <w:sz w:val="15"/>
                <w:szCs w:val="15"/>
                <w:vertAlign w:val="subscript"/>
                <w:lang w:eastAsia="sr-Latn-RS"/>
              </w:rPr>
              <w:t>5</w:t>
            </w: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fluoridi izraženi kao NF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postojeća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postojeća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80" w:name="str_61"/>
      <w:bookmarkEnd w:id="80"/>
      <w:r w:rsidRPr="00EB47ED">
        <w:rPr>
          <w:rFonts w:ascii="Arial" w:eastAsia="Times New Roman" w:hAnsi="Arial" w:cs="Arial"/>
          <w:b/>
          <w:bCs/>
          <w:sz w:val="24"/>
          <w:szCs w:val="24"/>
          <w:lang w:eastAsia="sr-Latn-RS"/>
        </w:rPr>
        <w:t xml:space="preserve">10. Postrojenja za proizvodnju sumpora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sumpora (Klausovo postrojenje)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414"/>
        <w:gridCol w:w="2235"/>
        <w:gridCol w:w="1594"/>
        <w:gridCol w:w="1450"/>
        <w:gridCol w:w="146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Kapacitet postrojenja (t/dan)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Stepen emitovanja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sumpor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i postojeća postrojenja za proizvodnju sumpora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&lt; 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&gt;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vodonik sulfid (H</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preradu prirodnog gasa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ugljen oksisulfid (COS) i ugljen disulfid (CS</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izraženi kao 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proizvodnju sumpora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neorganske gasovite materije date u Prilogu 2. ove uredbe ne primenjuju se na okside sumpora.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postrojenja za proizvodnju sumpora ne primenjuju se granične vrednosti emisije za okside sumpora date u Prilogu 2.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Klausovo postrojenje ne sme biti u prekidu duže od 24 časa neprekidno, odnosno 120 časova sa prekidima u jednoj kalendarskoj godini.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81" w:name="str_62"/>
      <w:bookmarkEnd w:id="81"/>
      <w:r w:rsidRPr="00EB47ED">
        <w:rPr>
          <w:rFonts w:ascii="Arial" w:eastAsia="Times New Roman" w:hAnsi="Arial" w:cs="Arial"/>
          <w:b/>
          <w:bCs/>
          <w:sz w:val="24"/>
          <w:szCs w:val="24"/>
          <w:lang w:eastAsia="sr-Latn-RS"/>
        </w:rPr>
        <w:lastRenderedPageBreak/>
        <w:t xml:space="preserve">11. Postrojenja za proizvodnju aluminijuma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aluminijuma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78"/>
        <w:gridCol w:w="1634"/>
        <w:gridCol w:w="2721"/>
        <w:gridCol w:w="162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Najviši dnevni faktor emisije (kg/t Al)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peći za elektrolizu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gasovita neorganska jedinjenja fluora HF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82" w:name="str_63"/>
      <w:bookmarkEnd w:id="82"/>
      <w:r w:rsidRPr="00EB47ED">
        <w:rPr>
          <w:rFonts w:ascii="Arial" w:eastAsia="Times New Roman" w:hAnsi="Arial" w:cs="Arial"/>
          <w:b/>
          <w:bCs/>
          <w:sz w:val="24"/>
          <w:szCs w:val="24"/>
          <w:lang w:eastAsia="sr-Latn-RS"/>
        </w:rPr>
        <w:t xml:space="preserve">12. Postrojenja za proizvodnju hlora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hlora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59.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75"/>
        <w:gridCol w:w="5029"/>
        <w:gridCol w:w="2158"/>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hlor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proizvodnju hlora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proizvodnju hlora s potpunim utečnjenjem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elektrolizi alkalnih hlorida amalgamskim postupkom, emisija žive može iznositi najviše 1 g/t proizvedenog hlora (godišnji prosek) za postojeća postrojenja, odnosno 0,01 g/t proizvedenog hlora (godišnji prosek) za nova postrojenja.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83" w:name="str_64"/>
      <w:bookmarkEnd w:id="83"/>
      <w:r w:rsidRPr="00EB47ED">
        <w:rPr>
          <w:rFonts w:ascii="Arial" w:eastAsia="Times New Roman" w:hAnsi="Arial" w:cs="Arial"/>
          <w:b/>
          <w:bCs/>
          <w:sz w:val="24"/>
          <w:szCs w:val="24"/>
          <w:lang w:eastAsia="sr-Latn-RS"/>
        </w:rPr>
        <w:t xml:space="preserve">13. Postrojenja za proizvodnju fosfornih, azotnih ili kalijumovih đubriva, uključujući amonijum nitrat i ureu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proizvodnju fosfornih, azotnih ili kalijumovih đubriva, uključujući amonijum nitrat i ureu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43"/>
        <w:gridCol w:w="4682"/>
        <w:gridCol w:w="233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proces granulacije, sušenja i priliranih granula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proces granulacije i sušenja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proces priliranih granula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60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Granična vrednost emisije za gasovite fluoride izražene kao HF, za emisioni faktor 0,02 kg/t mineralnog đubriva, za nova i postojeća postrojenja iznosi 5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84" w:name="str_65"/>
      <w:bookmarkEnd w:id="84"/>
      <w:r w:rsidRPr="00EB47ED">
        <w:rPr>
          <w:rFonts w:ascii="Arial" w:eastAsia="Times New Roman" w:hAnsi="Arial" w:cs="Arial"/>
          <w:b/>
          <w:bCs/>
          <w:sz w:val="24"/>
          <w:szCs w:val="24"/>
          <w:lang w:eastAsia="sr-Latn-RS"/>
        </w:rPr>
        <w:t xml:space="preserve">14. Postrojenja za proizvodnju poliakrilonitrilnih vlakana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Granična vrednost emisije za nova i postojeća postrojenja za proizvodnju poliakrilonitrilnih vlakana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70"/>
        <w:gridCol w:w="2536"/>
        <w:gridCol w:w="3456"/>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akrilonitril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adsorber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uređaj za pranje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85" w:name="str_66"/>
      <w:bookmarkEnd w:id="85"/>
      <w:r w:rsidRPr="00EB47ED">
        <w:rPr>
          <w:rFonts w:ascii="Arial" w:eastAsia="Times New Roman" w:hAnsi="Arial" w:cs="Arial"/>
          <w:b/>
          <w:bCs/>
          <w:sz w:val="24"/>
          <w:szCs w:val="24"/>
          <w:lang w:eastAsia="sr-Latn-RS"/>
        </w:rPr>
        <w:t xml:space="preserve">15. Postrojenja za proizvodnju polietilena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polietilena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 i II klase date u Prilogu 2. ove uredbe ne primenjuju se na nova i postojeća postrojenja za proizvodnju polietilena.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86" w:name="str_67"/>
      <w:bookmarkEnd w:id="86"/>
      <w:r w:rsidRPr="00EB47ED">
        <w:rPr>
          <w:rFonts w:ascii="Arial" w:eastAsia="Times New Roman" w:hAnsi="Arial" w:cs="Arial"/>
          <w:b/>
          <w:bCs/>
          <w:sz w:val="24"/>
          <w:szCs w:val="24"/>
          <w:lang w:eastAsia="sr-Latn-RS"/>
        </w:rPr>
        <w:t xml:space="preserve">16. Postrojenja za proizvodnju pesticida i biocida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pesticida i biocida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437"/>
        <w:gridCol w:w="2860"/>
        <w:gridCol w:w="1352"/>
        <w:gridCol w:w="1513"/>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proizvodnju biocida i pesticida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postrojenja za mlevenje, mešanje i pakovanje insekticida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 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koje sadrže 10% ili više opasnih materija ili preparata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87" w:name="str_68"/>
      <w:bookmarkEnd w:id="87"/>
      <w:r w:rsidRPr="00EB47ED">
        <w:rPr>
          <w:rFonts w:ascii="Arial" w:eastAsia="Times New Roman" w:hAnsi="Arial" w:cs="Arial"/>
          <w:b/>
          <w:bCs/>
          <w:sz w:val="24"/>
          <w:szCs w:val="24"/>
          <w:lang w:eastAsia="sr-Latn-RS"/>
        </w:rPr>
        <w:t xml:space="preserve">17. Postrojenja za proces katalitičkog krekinga (FCC proces) u rafineriji nafte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proces katalitičkog krekinga u rafineriji nafte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254"/>
        <w:gridCol w:w="5078"/>
        <w:gridCol w:w="183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katalitički kreking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1200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700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postrojenja za kalcinaciju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postojeća postrojenja za kalcinaciju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nova i postojeća postrojenja za katalitički kreking tokom perioda regeneracije katalizatora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Otpadni gasovi iz uređaja za odsumporavanje i/ili iz drugih rafinerijskih procesa sa zapreminskim udelom vodonik sulfida većim od 0,4% i sa masenim protokom vodonik sulfida većim od 2 t/dan moraju se podvrgnuti daljem tretmanu. Otpadni gasovi koji se ne podvrgnu daljem tretmanu moraju se spaljivati.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88" w:name="str_69"/>
      <w:bookmarkEnd w:id="88"/>
      <w:r w:rsidRPr="00EB47ED">
        <w:rPr>
          <w:rFonts w:ascii="Arial" w:eastAsia="Times New Roman" w:hAnsi="Arial" w:cs="Arial"/>
          <w:sz w:val="31"/>
          <w:szCs w:val="31"/>
          <w:lang w:eastAsia="sr-Latn-RS"/>
        </w:rPr>
        <w:t xml:space="preserve">Deo V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POSTROJENJA ZA POVRŠINSKU OBRADU METALA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površinsku obradu metala uz upotrebu koncentrovane fluorovodonične kiseline ili azotne kiseline, pri kontinualnom nagrizanju azotnom kiselinom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63"/>
        <w:gridCol w:w="399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700 </w:t>
            </w:r>
          </w:p>
        </w:tc>
      </w:tr>
    </w:tbl>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89" w:name="str_70"/>
      <w:bookmarkEnd w:id="89"/>
      <w:r w:rsidRPr="00EB47ED">
        <w:rPr>
          <w:rFonts w:ascii="Arial" w:eastAsia="Times New Roman" w:hAnsi="Arial" w:cs="Arial"/>
          <w:sz w:val="31"/>
          <w:szCs w:val="31"/>
          <w:lang w:eastAsia="sr-Latn-RS"/>
        </w:rPr>
        <w:t xml:space="preserve">Deo VI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POSTROJENJA ZA PROIZVODNJU OLOVNIH AKUMULATORA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sumpornu kiselinu i njena isparenja za nova i postojeća postrojenja za proizvodnju olovnih akumulatora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2"/>
        <w:gridCol w:w="2353"/>
        <w:gridCol w:w="234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sumporna kiselina (H</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SO</w:t>
            </w:r>
            <w:r w:rsidRPr="00EB47ED">
              <w:rPr>
                <w:rFonts w:ascii="Arial" w:eastAsia="Times New Roman" w:hAnsi="Arial" w:cs="Arial"/>
                <w:sz w:val="15"/>
                <w:szCs w:val="15"/>
                <w:vertAlign w:val="subscript"/>
                <w:lang w:eastAsia="sr-Latn-RS"/>
              </w:rPr>
              <w:t>4</w:t>
            </w:r>
            <w:r w:rsidRPr="00EB47ED">
              <w:rPr>
                <w:rFonts w:ascii="Arial" w:eastAsia="Times New Roman" w:hAnsi="Arial" w:cs="Arial"/>
                <w:lang w:eastAsia="sr-Latn-RS"/>
              </w:rPr>
              <w:t xml:space="preserve">) i njena isparenja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 </w:t>
            </w:r>
          </w:p>
        </w:tc>
      </w:tr>
    </w:tbl>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90" w:name="str_71"/>
      <w:bookmarkEnd w:id="90"/>
      <w:r w:rsidRPr="00EB47ED">
        <w:rPr>
          <w:rFonts w:ascii="Arial" w:eastAsia="Times New Roman" w:hAnsi="Arial" w:cs="Arial"/>
          <w:sz w:val="31"/>
          <w:szCs w:val="31"/>
          <w:lang w:eastAsia="sr-Latn-RS"/>
        </w:rPr>
        <w:t xml:space="preserve">Deo VII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POSTROJENJA ZA TRETMAN OTPADA I DRUGIH MATERIJALA, IZUZEV TERMIČKOG TRETMANA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91" w:name="str_72"/>
      <w:bookmarkEnd w:id="91"/>
      <w:r w:rsidRPr="00EB47ED">
        <w:rPr>
          <w:rFonts w:ascii="Arial" w:eastAsia="Times New Roman" w:hAnsi="Arial" w:cs="Arial"/>
          <w:b/>
          <w:bCs/>
          <w:sz w:val="24"/>
          <w:szCs w:val="24"/>
          <w:lang w:eastAsia="sr-Latn-RS"/>
        </w:rPr>
        <w:lastRenderedPageBreak/>
        <w:t xml:space="preserve">1. Postrojenja za spaljivanje deponijskog gasa ili drugih zapaljivih gasovitih materija iz postrojenja za tretman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date u Prilogu 2. ove uredbe ne primenjuju se na postrojenja iz ove tačke.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Radi praćenja procesa sagorevanja, postrojenja treba da budu opremljena mernim uređajima koji kontinualno mere i registruju temperaturu u prostoru za sagorevanje pri čemu merne tačke treba da budu postavljene na vrhu plamena.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Temperatura otpadnog gasa na vrhu plamena mora da bude najmanje 1000 °C a vreme zadržavanja vrućih otpadnih gasova u prostoru za sagorevanje, mereno od vrha plamena, mora da bude najmanje 0,3 sekunde.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92" w:name="str_73"/>
      <w:bookmarkEnd w:id="92"/>
      <w:r w:rsidRPr="00EB47ED">
        <w:rPr>
          <w:rFonts w:ascii="Arial" w:eastAsia="Times New Roman" w:hAnsi="Arial" w:cs="Arial"/>
          <w:b/>
          <w:bCs/>
          <w:sz w:val="24"/>
          <w:szCs w:val="24"/>
          <w:lang w:eastAsia="sr-Latn-RS"/>
        </w:rPr>
        <w:t xml:space="preserve">2. Postrojenja za gasovite materije sagorele na baklji koje nisu nastale iz postrojenja za tretman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date u Prilogu 2. ove uredbe ne primenjuju se na postrojenja iz ove tačke.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Za nova postrojenja stepen smanjenja emisije za organske materije iznosi najmanje 99,9% u odnosu na ukupni ugljenik i granična vrednost emisije za organske materije izražene kao ukupni ugljenik je 20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Najmanja temperatura u plamenu baklje na novim i postojećim postrojenjima treba da iznosi 850 °C.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93" w:name="str_74"/>
      <w:bookmarkEnd w:id="93"/>
      <w:r w:rsidRPr="00EB47ED">
        <w:rPr>
          <w:rFonts w:ascii="Arial" w:eastAsia="Times New Roman" w:hAnsi="Arial" w:cs="Arial"/>
          <w:b/>
          <w:bCs/>
          <w:sz w:val="24"/>
          <w:szCs w:val="24"/>
          <w:lang w:eastAsia="sr-Latn-RS"/>
        </w:rPr>
        <w:t xml:space="preserve">3. Postrojenja u kojima se vrši obrada materijala sadržanih u otpadu iz domaćinstava ili sličnih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u kojima se vrši obrada materijala sadržanih u otpadu iz domaćinstava ili sličnih otpada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94" w:name="str_75"/>
      <w:bookmarkEnd w:id="94"/>
      <w:r w:rsidRPr="00EB47ED">
        <w:rPr>
          <w:rFonts w:ascii="Arial" w:eastAsia="Times New Roman" w:hAnsi="Arial" w:cs="Arial"/>
          <w:b/>
          <w:bCs/>
          <w:sz w:val="24"/>
          <w:szCs w:val="24"/>
          <w:lang w:eastAsia="sr-Latn-RS"/>
        </w:rPr>
        <w:t xml:space="preserve">4. Postrojenja za kompostiranje organskog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kompostiranje organskog otpada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bl>
    <w:p w:rsidR="00EB47ED" w:rsidRPr="00EB47ED" w:rsidRDefault="00EB47ED" w:rsidP="00EB47ED">
      <w:pPr>
        <w:spacing w:before="240" w:after="240" w:line="240" w:lineRule="auto"/>
        <w:jc w:val="center"/>
        <w:rPr>
          <w:rFonts w:ascii="Arial" w:eastAsia="Times New Roman" w:hAnsi="Arial" w:cs="Arial"/>
          <w:b/>
          <w:bCs/>
          <w:i/>
          <w:iCs/>
          <w:sz w:val="24"/>
          <w:szCs w:val="24"/>
          <w:lang w:eastAsia="sr-Latn-RS"/>
        </w:rPr>
      </w:pPr>
      <w:bookmarkStart w:id="95" w:name="str_76"/>
      <w:bookmarkEnd w:id="95"/>
      <w:r w:rsidRPr="00EB47ED">
        <w:rPr>
          <w:rFonts w:ascii="Arial" w:eastAsia="Times New Roman" w:hAnsi="Arial" w:cs="Arial"/>
          <w:b/>
          <w:bCs/>
          <w:i/>
          <w:iCs/>
          <w:sz w:val="24"/>
          <w:szCs w:val="24"/>
          <w:lang w:eastAsia="sr-Latn-RS"/>
        </w:rPr>
        <w:t xml:space="preserve">POSTROJENJA ZA BIOLOŠKI TRETMAN OTPADA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96" w:name="str_77"/>
      <w:bookmarkEnd w:id="96"/>
      <w:r w:rsidRPr="00EB47ED">
        <w:rPr>
          <w:rFonts w:ascii="Arial" w:eastAsia="Times New Roman" w:hAnsi="Arial" w:cs="Arial"/>
          <w:b/>
          <w:bCs/>
          <w:sz w:val="24"/>
          <w:szCs w:val="24"/>
          <w:lang w:eastAsia="sr-Latn-RS"/>
        </w:rPr>
        <w:t xml:space="preserve">1. Postrojenja za fermentaciju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Granična vrednost emisije za nova i postojeća postrojenja za fermentaciju otpada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69.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97" w:name="str_78"/>
      <w:bookmarkEnd w:id="97"/>
      <w:r w:rsidRPr="00EB47ED">
        <w:rPr>
          <w:rFonts w:ascii="Arial" w:eastAsia="Times New Roman" w:hAnsi="Arial" w:cs="Arial"/>
          <w:b/>
          <w:bCs/>
          <w:sz w:val="24"/>
          <w:szCs w:val="24"/>
          <w:lang w:eastAsia="sr-Latn-RS"/>
        </w:rPr>
        <w:t xml:space="preserve">2. Postrojenja za sortiranje mešovitog komunalnog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sortiranje mešovitog komunalnog otpada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bl>
    <w:p w:rsidR="00EB47ED" w:rsidRPr="00EB47ED" w:rsidRDefault="00EB47ED" w:rsidP="00EB47ED">
      <w:pPr>
        <w:spacing w:before="240" w:after="240" w:line="240" w:lineRule="auto"/>
        <w:jc w:val="center"/>
        <w:rPr>
          <w:rFonts w:ascii="Arial" w:eastAsia="Times New Roman" w:hAnsi="Arial" w:cs="Arial"/>
          <w:b/>
          <w:bCs/>
          <w:i/>
          <w:iCs/>
          <w:sz w:val="24"/>
          <w:szCs w:val="24"/>
          <w:lang w:eastAsia="sr-Latn-RS"/>
        </w:rPr>
      </w:pPr>
      <w:bookmarkStart w:id="98" w:name="str_79"/>
      <w:bookmarkEnd w:id="98"/>
      <w:r w:rsidRPr="00EB47ED">
        <w:rPr>
          <w:rFonts w:ascii="Arial" w:eastAsia="Times New Roman" w:hAnsi="Arial" w:cs="Arial"/>
          <w:b/>
          <w:bCs/>
          <w:i/>
          <w:iCs/>
          <w:sz w:val="24"/>
          <w:szCs w:val="24"/>
          <w:lang w:eastAsia="sr-Latn-RS"/>
        </w:rPr>
        <w:t xml:space="preserve">POSTROJENJA ZA FIZIČKO-HEMIJSKI TRETMAN OTPADA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99" w:name="str_80"/>
      <w:bookmarkEnd w:id="99"/>
      <w:r w:rsidRPr="00EB47ED">
        <w:rPr>
          <w:rFonts w:ascii="Arial" w:eastAsia="Times New Roman" w:hAnsi="Arial" w:cs="Arial"/>
          <w:b/>
          <w:bCs/>
          <w:sz w:val="24"/>
          <w:szCs w:val="24"/>
          <w:lang w:eastAsia="sr-Latn-RS"/>
        </w:rPr>
        <w:t xml:space="preserve">1. Postrojenja za sušenje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sušenje otpada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84"/>
        <w:gridCol w:w="1922"/>
        <w:gridCol w:w="2056"/>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neorganska gasovita jedinjenja hlora iz III klase izražene kao 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organskih materija I i II klase date u Prilogu 2. ove uredbe ne primenjuju se na postrojenja iz ove tačke.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00" w:name="str_81"/>
      <w:bookmarkEnd w:id="100"/>
      <w:r w:rsidRPr="00EB47ED">
        <w:rPr>
          <w:rFonts w:ascii="Arial" w:eastAsia="Times New Roman" w:hAnsi="Arial" w:cs="Arial"/>
          <w:b/>
          <w:bCs/>
          <w:sz w:val="24"/>
          <w:szCs w:val="24"/>
          <w:lang w:eastAsia="sr-Latn-RS"/>
        </w:rPr>
        <w:t xml:space="preserve">2. Postrojenja za sušenje kanalizacionog mulja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sušenje kanalizacionog mulja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84"/>
        <w:gridCol w:w="1922"/>
        <w:gridCol w:w="2056"/>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neorganska gasovita jedinjenja hlora iz III klase izražene kao 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 i II klase propisane u Prilogu 2. ove uredbe ne primenjuju se na postrojenja iz ove tačke. </w:t>
      </w:r>
    </w:p>
    <w:p w:rsidR="00EB47ED" w:rsidRPr="00EB47ED" w:rsidRDefault="00EB47ED" w:rsidP="00EB47ED">
      <w:pPr>
        <w:spacing w:before="240" w:after="240" w:line="240" w:lineRule="auto"/>
        <w:jc w:val="center"/>
        <w:rPr>
          <w:rFonts w:ascii="Arial" w:eastAsia="Times New Roman" w:hAnsi="Arial" w:cs="Arial"/>
          <w:b/>
          <w:bCs/>
          <w:i/>
          <w:iCs/>
          <w:sz w:val="24"/>
          <w:szCs w:val="24"/>
          <w:lang w:eastAsia="sr-Latn-RS"/>
        </w:rPr>
      </w:pPr>
      <w:bookmarkStart w:id="101" w:name="str_82"/>
      <w:bookmarkEnd w:id="101"/>
      <w:r w:rsidRPr="00EB47ED">
        <w:rPr>
          <w:rFonts w:ascii="Arial" w:eastAsia="Times New Roman" w:hAnsi="Arial" w:cs="Arial"/>
          <w:b/>
          <w:bCs/>
          <w:i/>
          <w:iCs/>
          <w:sz w:val="24"/>
          <w:szCs w:val="24"/>
          <w:lang w:eastAsia="sr-Latn-RS"/>
        </w:rPr>
        <w:t xml:space="preserve">POSTROJENJA ZA DRUGE TRETMANE OTPADA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02" w:name="str_83"/>
      <w:bookmarkEnd w:id="102"/>
      <w:r w:rsidRPr="00EB47ED">
        <w:rPr>
          <w:rFonts w:ascii="Arial" w:eastAsia="Times New Roman" w:hAnsi="Arial" w:cs="Arial"/>
          <w:b/>
          <w:bCs/>
          <w:sz w:val="24"/>
          <w:szCs w:val="24"/>
          <w:lang w:eastAsia="sr-Latn-RS"/>
        </w:rPr>
        <w:t xml:space="preserve">1. Postrojenja za mehanički tretman mešovitog komunalnog otpada i otpada sličnog sastava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mehanički tretman mešovitog komunalnog otpada i otpada sličnog sastava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84"/>
        <w:gridCol w:w="1922"/>
        <w:gridCol w:w="2056"/>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neorganska gasovita jedinjenja hlora iz III klase izražene kao 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03" w:name="str_84"/>
      <w:bookmarkEnd w:id="103"/>
      <w:r w:rsidRPr="00EB47ED">
        <w:rPr>
          <w:rFonts w:ascii="Arial" w:eastAsia="Times New Roman" w:hAnsi="Arial" w:cs="Arial"/>
          <w:b/>
          <w:bCs/>
          <w:sz w:val="24"/>
          <w:szCs w:val="24"/>
          <w:lang w:eastAsia="sr-Latn-RS"/>
        </w:rPr>
        <w:t xml:space="preserve">2. Postrojenja za druge tretmane otpada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druge tretmane otpada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104" w:name="str_85"/>
      <w:bookmarkEnd w:id="104"/>
      <w:r w:rsidRPr="00EB47ED">
        <w:rPr>
          <w:rFonts w:ascii="Arial" w:eastAsia="Times New Roman" w:hAnsi="Arial" w:cs="Arial"/>
          <w:sz w:val="31"/>
          <w:szCs w:val="31"/>
          <w:lang w:eastAsia="sr-Latn-RS"/>
        </w:rPr>
        <w:t xml:space="preserve">Deo VIII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POSTROJENJA ZA TRETMAN OTPADNIH VODA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Kod postrojenja za tretman otpadnih voda, za izračunavanje masenog protoka neorganskih gasovitih materija, organskih materija i karcinogenih materija iz Priloga 2. ove uredbe, ne uzimajući u obzir masene koncentracije ovih zagađujućih materija, primenjuje se model Američke agencije za zaštitu životne sredine (EPA-453/R-94-080 - </w:t>
      </w:r>
      <w:r w:rsidRPr="00EB47ED">
        <w:rPr>
          <w:rFonts w:ascii="Arial" w:eastAsia="Times New Roman" w:hAnsi="Arial" w:cs="Arial"/>
          <w:i/>
          <w:iCs/>
          <w:lang w:eastAsia="sr-Latn-RS"/>
        </w:rPr>
        <w:t>air emissions models for waste and wastewater</w:t>
      </w:r>
      <w:r w:rsidRPr="00EB47ED">
        <w:rPr>
          <w:rFonts w:ascii="Arial" w:eastAsia="Times New Roman" w:hAnsi="Arial" w:cs="Arial"/>
          <w:lang w:eastAsia="sr-Latn-RS"/>
        </w:rPr>
        <w:t xml:space="preserv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Model iz stava 1. ovog člana primenjuje se za izračunavanje masenog protoka u vremenskom periodu od 1 časa.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105" w:name="str_86"/>
      <w:bookmarkEnd w:id="105"/>
      <w:r w:rsidRPr="00EB47ED">
        <w:rPr>
          <w:rFonts w:ascii="Arial" w:eastAsia="Times New Roman" w:hAnsi="Arial" w:cs="Arial"/>
          <w:sz w:val="31"/>
          <w:szCs w:val="31"/>
          <w:lang w:eastAsia="sr-Latn-RS"/>
        </w:rPr>
        <w:lastRenderedPageBreak/>
        <w:t xml:space="preserve">Deo IX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PROIZVODNJA PAPIRA I PROIZVODA OD DRVETA I PRERADA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06" w:name="str_87"/>
      <w:bookmarkEnd w:id="106"/>
      <w:r w:rsidRPr="00EB47ED">
        <w:rPr>
          <w:rFonts w:ascii="Arial" w:eastAsia="Times New Roman" w:hAnsi="Arial" w:cs="Arial"/>
          <w:b/>
          <w:bCs/>
          <w:sz w:val="24"/>
          <w:szCs w:val="24"/>
          <w:lang w:eastAsia="sr-Latn-RS"/>
        </w:rPr>
        <w:t xml:space="preserve">1. Postrojenja za proizvodnju papira i kartona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Pri direktnom zagrevanju drveta i proizvoda od drveta izmerene koncentracije u otpadnim gasovima ne preračunavaju se na udeo kiseonika.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novim i postojećim postrojenjima za proizvodnju celuloze hemijsko-termičko-mehaničkim postupkom ne primenjuju se granične vrednosti emisija za organske materije.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07" w:name="str_88"/>
      <w:bookmarkEnd w:id="107"/>
      <w:r w:rsidRPr="00EB47ED">
        <w:rPr>
          <w:rFonts w:ascii="Arial" w:eastAsia="Times New Roman" w:hAnsi="Arial" w:cs="Arial"/>
          <w:b/>
          <w:bCs/>
          <w:sz w:val="24"/>
          <w:szCs w:val="24"/>
          <w:lang w:eastAsia="sr-Latn-RS"/>
        </w:rPr>
        <w:t xml:space="preserve">2. Postrojenja za proizvodnju drvenih vlaknastih i vezanih ploča - lesonita, šperploče, iverice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drvenih vlaknastih i vezanih ploča (lesonita, šperploče, iverice, laminata i slično)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723"/>
        <w:gridCol w:w="2672"/>
        <w:gridCol w:w="276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uređaji za obradu čvrstog drveta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brusilice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drugi uređaji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kod direktnog grejanja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 u vlažnim otpadnim gasovima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kod indirektnog grejanja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 u vlažnim otpadnim gasovima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toluen, ksilen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Za nove prese za proizvodnju ploča, emisija organskih materija I klase u otpadnom gasu iznosi 0,12 kg/m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proizvedenih ploča.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proizvodnju drvenih vlaknastih i vezanih ploča (lesonita, šperploče, iverice, laminata i slično)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723"/>
        <w:gridCol w:w="1220"/>
        <w:gridCol w:w="1189"/>
        <w:gridCol w:w="203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r w:rsidRPr="00EB47ED">
              <w:rPr>
                <w:rFonts w:ascii="Arial" w:eastAsia="Times New Roman" w:hAnsi="Arial" w:cs="Arial"/>
                <w:lang w:eastAsia="sr-Latn-RS"/>
              </w:rPr>
              <w:br/>
              <w:t>(mg/normalni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brusilice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drugi uređaji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kod direktnog grejanja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u vlažnim </w:t>
            </w:r>
            <w:r w:rsidRPr="00EB47ED">
              <w:rPr>
                <w:rFonts w:ascii="Arial" w:eastAsia="Times New Roman" w:hAnsi="Arial" w:cs="Arial"/>
                <w:lang w:eastAsia="sr-Latn-RS"/>
              </w:rPr>
              <w:lastRenderedPageBreak/>
              <w:t xml:space="preserve">otpadnim gasovima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praškaste materije kod indirektnog grejanja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u vlažnim otpadnim gasovima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neorganska gasovita jedinjenja hlora izražene kao 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&gt; 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(zapreminski udeo kiseonika 17%)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pri direktnom sušenju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&gt;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(zapreminski udeo kiseonika 17%)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monoksid (samo za čvrsta goriva pri direktnom sušenju i na mernom mestu direktno na izlazu iz peći pre mešanja sa vazduhom)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250 (zapreminski udeo kiseonika 11%)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(samo pri direktom sušenju i na mernom mestu direktno na izlazu iz peći pre mešanja sa vazduhom)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(zapreminski udeo kiseonika 11%)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(zapreminski udeo kiseonika 17%)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Za postojeće prese za proizvodnju ploča, emisija organskih materija I klase u otpadnom gasu iznosi 0,12 kg/m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proizvedenih ploča a emisija organskih materija II klase iznosi 100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108" w:name="str_89"/>
      <w:bookmarkEnd w:id="108"/>
      <w:r w:rsidRPr="00EB47ED">
        <w:rPr>
          <w:rFonts w:ascii="Arial" w:eastAsia="Times New Roman" w:hAnsi="Arial" w:cs="Arial"/>
          <w:sz w:val="31"/>
          <w:szCs w:val="31"/>
          <w:lang w:eastAsia="sr-Latn-RS"/>
        </w:rPr>
        <w:t xml:space="preserve">Deo X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PREHRAMBENA INDUSTRIJA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09" w:name="str_90"/>
      <w:bookmarkEnd w:id="109"/>
      <w:r w:rsidRPr="00EB47ED">
        <w:rPr>
          <w:rFonts w:ascii="Arial" w:eastAsia="Times New Roman" w:hAnsi="Arial" w:cs="Arial"/>
          <w:b/>
          <w:bCs/>
          <w:sz w:val="24"/>
          <w:szCs w:val="24"/>
          <w:lang w:eastAsia="sr-Latn-RS"/>
        </w:rPr>
        <w:t xml:space="preserve">1. Postrojenja za proizvodnju kvasca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pivskog kvasca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0" w:name="str_91"/>
      <w:bookmarkEnd w:id="110"/>
      <w:r w:rsidRPr="00EB47ED">
        <w:rPr>
          <w:rFonts w:ascii="Arial" w:eastAsia="Times New Roman" w:hAnsi="Arial" w:cs="Arial"/>
          <w:b/>
          <w:bCs/>
          <w:sz w:val="24"/>
          <w:szCs w:val="24"/>
          <w:lang w:eastAsia="sr-Latn-RS"/>
        </w:rPr>
        <w:t xml:space="preserve">2. Postrojenja za proizvodnju ulja i masti od biljnih sirovina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vodonik sulfid u otpadnom gasu kod postrojenja za proizvodnju ulja i masti od biljnih sirovina data u Prilogu 2. ove uredbe ne primenjuje se na nova i postojeća postrojenja iz ove tačke.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1" w:name="str_92"/>
      <w:bookmarkEnd w:id="111"/>
      <w:r w:rsidRPr="00EB47ED">
        <w:rPr>
          <w:rFonts w:ascii="Arial" w:eastAsia="Times New Roman" w:hAnsi="Arial" w:cs="Arial"/>
          <w:b/>
          <w:bCs/>
          <w:sz w:val="24"/>
          <w:szCs w:val="24"/>
          <w:lang w:eastAsia="sr-Latn-RS"/>
        </w:rPr>
        <w:t xml:space="preserve">3. Postrojenja za proizvodnju ili rafinisanje šećera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proizvodnju ili rafinisanje šećera (za postrojenja za sušenje rezanaca šećerne repe)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85"/>
        <w:gridCol w:w="3777"/>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 nova postrojenja za proizvodnju ili rafinisanje šećera granična vrednost emisije, izražena kao maseni protok, za organske materije izražene kao ukupni ugljenik iznosi 650 g/h.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za proizvodnju ili rafinisanje šećera (za postrojenja za sušenje rezanaca šećerne repe)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79.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00"/>
        <w:gridCol w:w="306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u vlažnom otpadnom gasu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60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400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 postojeća postrojenja granična vrednosti emisije za organske materije, izražene kao ukupni ugljenik, iznosi 80 g/t obrađene šećerne repe. Ova vrednost se odnosi na organske materije, izražene kao ukupni ugljenik, koje mogu biti detektovane pomoću adsorpcije sa silika gelom. Ako se merenje vrši primenom plameno jonizacionog detektora (FID) potrebno je izvršiti odgovarajuću konverziju.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2" w:name="str_93"/>
      <w:bookmarkEnd w:id="112"/>
      <w:r w:rsidRPr="00EB47ED">
        <w:rPr>
          <w:rFonts w:ascii="Arial" w:eastAsia="Times New Roman" w:hAnsi="Arial" w:cs="Arial"/>
          <w:b/>
          <w:bCs/>
          <w:sz w:val="24"/>
          <w:szCs w:val="24"/>
          <w:lang w:eastAsia="sr-Latn-RS"/>
        </w:rPr>
        <w:t xml:space="preserve">4. Postrojenja za prženje kafe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prženje kafe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591"/>
        <w:gridCol w:w="2789"/>
        <w:gridCol w:w="278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350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Zahtevi za ograničavanje emisije oksida azota ne primenjuju se na postojeća postrojenja sa kapacitetom proizvodnje manjim od 250 kg/h pržene kafe, odnosno 1500 kg/dan pržene kafe. </w:t>
      </w:r>
    </w:p>
    <w:p w:rsidR="00EB47ED" w:rsidRPr="00EB47ED" w:rsidRDefault="00EB47ED" w:rsidP="00EB47ED">
      <w:pPr>
        <w:spacing w:after="0" w:line="240" w:lineRule="auto"/>
        <w:jc w:val="center"/>
        <w:rPr>
          <w:rFonts w:ascii="Arial" w:eastAsia="Times New Roman" w:hAnsi="Arial" w:cs="Arial"/>
          <w:sz w:val="31"/>
          <w:szCs w:val="31"/>
          <w:lang w:eastAsia="sr-Latn-RS"/>
        </w:rPr>
      </w:pPr>
      <w:bookmarkStart w:id="113" w:name="str_94"/>
      <w:bookmarkEnd w:id="113"/>
      <w:r w:rsidRPr="00EB47ED">
        <w:rPr>
          <w:rFonts w:ascii="Arial" w:eastAsia="Times New Roman" w:hAnsi="Arial" w:cs="Arial"/>
          <w:sz w:val="31"/>
          <w:szCs w:val="31"/>
          <w:lang w:eastAsia="sr-Latn-RS"/>
        </w:rPr>
        <w:t xml:space="preserve">Deo XI </w:t>
      </w:r>
    </w:p>
    <w:p w:rsidR="00EB47ED" w:rsidRPr="00EB47ED" w:rsidRDefault="00EB47ED" w:rsidP="00EB47ED">
      <w:pPr>
        <w:spacing w:after="0" w:line="240" w:lineRule="auto"/>
        <w:jc w:val="center"/>
        <w:rPr>
          <w:rFonts w:ascii="Arial" w:eastAsia="Times New Roman" w:hAnsi="Arial" w:cs="Arial"/>
          <w:sz w:val="31"/>
          <w:szCs w:val="31"/>
          <w:lang w:eastAsia="sr-Latn-RS"/>
        </w:rPr>
      </w:pPr>
      <w:r w:rsidRPr="00EB47ED">
        <w:rPr>
          <w:rFonts w:ascii="Arial" w:eastAsia="Times New Roman" w:hAnsi="Arial" w:cs="Arial"/>
          <w:sz w:val="31"/>
          <w:szCs w:val="31"/>
          <w:lang w:eastAsia="sr-Latn-RS"/>
        </w:rPr>
        <w:t xml:space="preserve">DRUGE AKTIVNOSTI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4" w:name="str_95"/>
      <w:bookmarkEnd w:id="114"/>
      <w:r w:rsidRPr="00EB47ED">
        <w:rPr>
          <w:rFonts w:ascii="Arial" w:eastAsia="Times New Roman" w:hAnsi="Arial" w:cs="Arial"/>
          <w:b/>
          <w:bCs/>
          <w:sz w:val="24"/>
          <w:szCs w:val="24"/>
          <w:lang w:eastAsia="sr-Latn-RS"/>
        </w:rPr>
        <w:t xml:space="preserve">1. Postrojenja za impregnaciju ili premazivanje materijala i predmeta katranom, katranskim uljem ili vrućim bitumenom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nova i postojeća postrojenja za impregnaciju ili premazivanje materijala i predmeta katranom, katranskim uljem ili vrućim bitumenom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emisija za organske materije I i II klase date u Prilogu 2. ove uredbe primenjuju se na nova i postojeća postrojenja.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5" w:name="str_96"/>
      <w:bookmarkEnd w:id="115"/>
      <w:r w:rsidRPr="00EB47ED">
        <w:rPr>
          <w:rFonts w:ascii="Arial" w:eastAsia="Times New Roman" w:hAnsi="Arial" w:cs="Arial"/>
          <w:b/>
          <w:bCs/>
          <w:sz w:val="24"/>
          <w:szCs w:val="24"/>
          <w:lang w:eastAsia="sr-Latn-RS"/>
        </w:rPr>
        <w:t xml:space="preserve">2. Postrojenja za preradu tečnih, nezasićenih poliester smola sa stirenom kao aditivom ili tečnih epoksi smola sa aminima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nova i postojeća postrojenja za preradu tečnih, nezasićenih poliester smola sa stirenom kao aditivom ili tečnih epoksi smola sa aminima primenjuju se granična vrednost emisije organskih materija data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nova i postojeća postrojenja iz ove tačke primenjuju se granične vrednosti emisije za organske materije I i II klase propisane u Prilogu 2. ove uredbe.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6" w:name="str_97"/>
      <w:bookmarkEnd w:id="116"/>
      <w:r w:rsidRPr="00EB47ED">
        <w:rPr>
          <w:rFonts w:ascii="Arial" w:eastAsia="Times New Roman" w:hAnsi="Arial" w:cs="Arial"/>
          <w:b/>
          <w:bCs/>
          <w:sz w:val="24"/>
          <w:szCs w:val="24"/>
          <w:lang w:eastAsia="sr-Latn-RS"/>
        </w:rPr>
        <w:t xml:space="preserve">3. Postrojenja za proizvodnju predmeta pri korišćenju aminosmola ili fenolnih smola kao što su furan, urea, fenol ili ksilen smole pomoću termičke obrade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82"/>
        <w:gridCol w:w="4780"/>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7" w:name="str_98"/>
      <w:bookmarkEnd w:id="117"/>
      <w:r w:rsidRPr="00EB47ED">
        <w:rPr>
          <w:rFonts w:ascii="Arial" w:eastAsia="Times New Roman" w:hAnsi="Arial" w:cs="Arial"/>
          <w:b/>
          <w:bCs/>
          <w:sz w:val="24"/>
          <w:szCs w:val="24"/>
          <w:lang w:eastAsia="sr-Latn-RS"/>
        </w:rPr>
        <w:t xml:space="preserve">4. Postrojenja za proizvodnju poliuretanskih i polistirenskih proizvoda, kao što su ambalaža, modeli, građevinski i izolacioni elementi ili blokovi u obliku kocki i postrojenja za popunjavanje šupljina poliuretanskom penom, osim postrojenja koja koriste termoplastični poliuretanski granulat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date u Prilogu 2. ove uredbe ne primenjuju se na nova i postojeća postrojenja kada se kao penilo ili potisni gas ne koriste organska jedinjenja koja spadaju u organske materije I ili II klase ili organske materije koje se u skladu sa propisima koji uređuju hemikalije svrstavaju u karcinogene, mutagene za germinativne ćelije, toksične po reprodukciju, ili specifično toksične za ciljni organ, jednokratna izloženost, kategorija 1 i specifično toksične za ciljni organ, višekratna izloženost, kategorija 1.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8" w:name="str_99"/>
      <w:bookmarkEnd w:id="118"/>
      <w:r w:rsidRPr="00EB47ED">
        <w:rPr>
          <w:rFonts w:ascii="Arial" w:eastAsia="Times New Roman" w:hAnsi="Arial" w:cs="Arial"/>
          <w:b/>
          <w:bCs/>
          <w:sz w:val="24"/>
          <w:szCs w:val="24"/>
          <w:lang w:eastAsia="sr-Latn-RS"/>
        </w:rPr>
        <w:t xml:space="preserve">5. Postrojenja za pripremanje bitumeniziranih materijala za izgradnju puteva (asfaltne baze)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postrojenja za pripremanje bitumeniziranih materijala za izgradnju puteva (asfaltne baze) u otpadnom gasu sa zapreminskim udelom kiseonika od 17 %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Tabela 84.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75"/>
        <w:gridCol w:w="2338"/>
        <w:gridCol w:w="224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gasovito ili tečno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čvrsto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karcinogene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 i II klase date u Prilogu 2. ove uredbe ne primenjuju se na nova postrojenja.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nova postrojenja iz ove tačke primenjuje se granična vrednost emisije za okside sumpora data u Prilogu 2.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postojeća postrojenja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75"/>
        <w:gridCol w:w="2338"/>
        <w:gridCol w:w="224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gasovito ili tečno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čvrsto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karcinogene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Ako se za zagrevanje smeše mineralnih sirovina sa bitumenom upotrebljava termičko ulje, granična vrednost emisije gasova iz procesa sagorevanja termičkog ulja odnosi se na zapreminski udeo kiseonika od 3%.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 i II klase date u Prilogu 2. ove uredbe ne primenjuju se na postojeća postrojenja.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postojeća postrojenja iz ove tačke primenjuje se granična vrednost emisije za okside sumpora data u Prilogu 2. ove uredbe.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19" w:name="str_100"/>
      <w:bookmarkEnd w:id="119"/>
      <w:r w:rsidRPr="00EB47ED">
        <w:rPr>
          <w:rFonts w:ascii="Arial" w:eastAsia="Times New Roman" w:hAnsi="Arial" w:cs="Arial"/>
          <w:b/>
          <w:bCs/>
          <w:sz w:val="24"/>
          <w:szCs w:val="24"/>
          <w:lang w:eastAsia="sr-Latn-RS"/>
        </w:rPr>
        <w:t xml:space="preserve">6. Postrojenja za proizvodnju industrijske čađi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industrijske čađi sa zapreminskim udelom kiseonika od 3% u otpadnom gasu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600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sumpora izraženi kao SO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0" w:name="str_101"/>
      <w:bookmarkEnd w:id="120"/>
      <w:r w:rsidRPr="00EB47ED">
        <w:rPr>
          <w:rFonts w:ascii="Arial" w:eastAsia="Times New Roman" w:hAnsi="Arial" w:cs="Arial"/>
          <w:b/>
          <w:bCs/>
          <w:sz w:val="24"/>
          <w:szCs w:val="24"/>
          <w:lang w:eastAsia="sr-Latn-RS"/>
        </w:rPr>
        <w:t xml:space="preserve">7. Postrojenja za proizvodnju grafita ili elektrografita insineracijom ili grafitizacijom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proizvodnju grafita ili elektrografita žarenjem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1" w:name="str_102"/>
      <w:bookmarkEnd w:id="121"/>
      <w:r w:rsidRPr="00EB47ED">
        <w:rPr>
          <w:rFonts w:ascii="Arial" w:eastAsia="Times New Roman" w:hAnsi="Arial" w:cs="Arial"/>
          <w:b/>
          <w:bCs/>
          <w:sz w:val="24"/>
          <w:szCs w:val="24"/>
          <w:lang w:eastAsia="sr-Latn-RS"/>
        </w:rPr>
        <w:t xml:space="preserve">8. Postrojenja za premazivanje, impregnaciju, laminiranje i lakiranje staklenih ili mineralnih vlakana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premazivanje, impregnaciju, laminiranje i lakiranje staklenih ili mineralnih vlakana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652"/>
        <w:gridCol w:w="4386"/>
        <w:gridCol w:w="2124"/>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pri impregnaciji i sušenju staklene ili kamene vune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65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pri premazivanju staklenih ili mineralnih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oksidi azota izraženi kao NO</w:t>
            </w:r>
            <w:r w:rsidRPr="00EB47ED">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kada je korišćeno termičko naknadno sagorevanje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fenol i formaldehid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pri impregnaciji i sušenju mineralnih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30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 postojeća i nova postrojenja iz ove tačke primenjuju se granične vrednosti emisije za organske materije propisane u Prilogu 2. ove uredbe.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Ako su kod novih i postojećih postrojenja emisije organskih materija smanjene termičkim naknadnim sagorevanjem granična vrednost emisije za amonijak u otpadnom gasu iznosi 100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2" w:name="str_103"/>
      <w:bookmarkEnd w:id="122"/>
      <w:r w:rsidRPr="00EB47ED">
        <w:rPr>
          <w:rFonts w:ascii="Arial" w:eastAsia="Times New Roman" w:hAnsi="Arial" w:cs="Arial"/>
          <w:b/>
          <w:bCs/>
          <w:sz w:val="24"/>
          <w:szCs w:val="24"/>
          <w:lang w:eastAsia="sr-Latn-RS"/>
        </w:rPr>
        <w:t xml:space="preserve">9. Postrojenja za sušenje zelenih delova biljaka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Granična vrednost emisije za nova i postojeća postrojenja za sušenje zelenih delova biljaka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89.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683"/>
        <w:gridCol w:w="4479"/>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praškaste materije u vlažnom otpadnom gasu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75 mg/normalni m</w:t>
            </w:r>
            <w:r w:rsidRPr="00EB47ED">
              <w:rPr>
                <w:rFonts w:ascii="Arial" w:eastAsia="Times New Roman" w:hAnsi="Arial" w:cs="Arial"/>
                <w:sz w:val="15"/>
                <w:szCs w:val="15"/>
                <w:vertAlign w:val="superscript"/>
                <w:lang w:eastAsia="sr-Latn-RS"/>
              </w:rPr>
              <w:t>3</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250 g ukupnog ugljenika po 1 toni vodene pare u izduvnim gasovima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formaldehid, acetaldehid, akrolein i furfurala iz I klase organskih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g ukupnog ugljenika po 1 toni vodene pare u izduvnim gasovima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3" w:name="str_104"/>
      <w:bookmarkEnd w:id="123"/>
      <w:r w:rsidRPr="00EB47ED">
        <w:rPr>
          <w:rFonts w:ascii="Arial" w:eastAsia="Times New Roman" w:hAnsi="Arial" w:cs="Arial"/>
          <w:b/>
          <w:bCs/>
          <w:sz w:val="24"/>
          <w:szCs w:val="24"/>
          <w:lang w:eastAsia="sr-Latn-RS"/>
        </w:rPr>
        <w:t xml:space="preserve">10. Postrojenja za vulkanizaciju prirodnog ili sintetičkog kaučuka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vulkanizaciju prirodnog ili sintetičkog kaučuka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90.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80 </w:t>
            </w:r>
          </w:p>
        </w:tc>
      </w:tr>
    </w:tbl>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4" w:name="str_105"/>
      <w:bookmarkEnd w:id="124"/>
      <w:r w:rsidRPr="00EB47ED">
        <w:rPr>
          <w:rFonts w:ascii="Arial" w:eastAsia="Times New Roman" w:hAnsi="Arial" w:cs="Arial"/>
          <w:b/>
          <w:bCs/>
          <w:sz w:val="24"/>
          <w:szCs w:val="24"/>
          <w:lang w:eastAsia="sr-Latn-RS"/>
        </w:rPr>
        <w:t xml:space="preserve">11. Postrojenja za čišćenje alata, uređaja ili drugih metalnih predmeta termičkim postupcima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Zapreminski udeo kiseonika u otpadnim gasovima je 11%, osim za postrojenja za katalitičko naknadno sagorevanje.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čišćenje alata, uređaja ili drugih metalnih predmeta termičkim postupcima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91.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632"/>
        <w:gridCol w:w="2265"/>
        <w:gridCol w:w="2265"/>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 i II klase date u Prilogu 2. ove uredbe ne primenjuju se na postrojenja iz ove tačke.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5" w:name="str_106"/>
      <w:bookmarkEnd w:id="125"/>
      <w:r w:rsidRPr="00EB47ED">
        <w:rPr>
          <w:rFonts w:ascii="Arial" w:eastAsia="Times New Roman" w:hAnsi="Arial" w:cs="Arial"/>
          <w:b/>
          <w:bCs/>
          <w:sz w:val="24"/>
          <w:szCs w:val="24"/>
          <w:lang w:eastAsia="sr-Latn-RS"/>
        </w:rPr>
        <w:t xml:space="preserve">12. Postrojenja za čišćenje unutrašnjosti železničkih vagona - cisterni, teretnjaka - cisterni, tankera ili posuda - rezervoara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postrojenja za čišćenje unutrašnjosti železničkih vagona-cisterni, teretnjaka-cisterni, tankera ili posuda-rezervoara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92.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710"/>
        <w:gridCol w:w="2217"/>
        <w:gridCol w:w="2235"/>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 klase I karcinogene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II klase date u Prilogu 2. ove uredbe ne primenjuju se na postrojenja iz ove tačke.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6" w:name="str_107"/>
      <w:bookmarkEnd w:id="126"/>
      <w:r w:rsidRPr="00EB47ED">
        <w:rPr>
          <w:rFonts w:ascii="Arial" w:eastAsia="Times New Roman" w:hAnsi="Arial" w:cs="Arial"/>
          <w:b/>
          <w:bCs/>
          <w:sz w:val="24"/>
          <w:szCs w:val="24"/>
          <w:lang w:eastAsia="sr-Latn-RS"/>
        </w:rPr>
        <w:t xml:space="preserve">13. Postrojenja za automatsko čišćenje buradi ili sličnih kontejnera (rezervoari na paletama) uključujući i postrojenja za obradu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burad zagađena organskim materijama I klase ili kancerogenim materijama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93.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632"/>
        <w:gridCol w:w="2265"/>
        <w:gridCol w:w="2265"/>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20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Granična vrednost emisije za nova i postojeća burad koja nisu zagađena organskim materijama I klase ili kancerogenim materijama data je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94.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160"/>
        <w:gridCol w:w="300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GVE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75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organske materije I i II klase date u Prilogu 2. ove uredbe ne primenjuju se na postrojenja iz ove tačke. </w:t>
      </w:r>
    </w:p>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b/>
          <w:bCs/>
          <w:sz w:val="31"/>
          <w:szCs w:val="31"/>
          <w:lang w:eastAsia="sr-Latn-RS"/>
        </w:rPr>
      </w:pPr>
      <w:bookmarkStart w:id="127" w:name="str_108"/>
      <w:bookmarkEnd w:id="127"/>
      <w:r w:rsidRPr="00EB47ED">
        <w:rPr>
          <w:rFonts w:ascii="Arial" w:eastAsia="Times New Roman" w:hAnsi="Arial" w:cs="Arial"/>
          <w:b/>
          <w:bCs/>
          <w:sz w:val="31"/>
          <w:szCs w:val="31"/>
          <w:lang w:eastAsia="sr-Latn-RS"/>
        </w:rPr>
        <w:t>Prilog 2.</w:t>
      </w:r>
    </w:p>
    <w:p w:rsidR="00EB47ED" w:rsidRPr="00EB47ED" w:rsidRDefault="00EB47ED" w:rsidP="00EB47ED">
      <w:pPr>
        <w:spacing w:after="0" w:line="240" w:lineRule="auto"/>
        <w:jc w:val="center"/>
        <w:rPr>
          <w:rFonts w:ascii="Arial" w:eastAsia="Times New Roman" w:hAnsi="Arial" w:cs="Arial"/>
          <w:b/>
          <w:bCs/>
          <w:sz w:val="31"/>
          <w:szCs w:val="31"/>
          <w:lang w:eastAsia="sr-Latn-RS"/>
        </w:rPr>
      </w:pPr>
      <w:r w:rsidRPr="00EB47ED">
        <w:rPr>
          <w:rFonts w:ascii="Arial" w:eastAsia="Times New Roman" w:hAnsi="Arial" w:cs="Arial"/>
          <w:b/>
          <w:bCs/>
          <w:sz w:val="31"/>
          <w:szCs w:val="31"/>
          <w:lang w:eastAsia="sr-Latn-RS"/>
        </w:rPr>
        <w:t xml:space="preserve">OPŠTE GRANIČNE VREDNOSTI EMISIJA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8" w:name="str_109"/>
      <w:bookmarkEnd w:id="128"/>
      <w:r w:rsidRPr="00EB47ED">
        <w:rPr>
          <w:rFonts w:ascii="Arial" w:eastAsia="Times New Roman" w:hAnsi="Arial" w:cs="Arial"/>
          <w:b/>
          <w:bCs/>
          <w:sz w:val="24"/>
          <w:szCs w:val="24"/>
          <w:lang w:eastAsia="sr-Latn-RS"/>
        </w:rPr>
        <w:t xml:space="preserve">Granične vrednosti emisije za ukupne praškaste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ukupne praškaste materije u otpadnom gasu 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- 20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veći ili jednak 200 g/h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- 150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manji od 200 g/h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29" w:name="str_110"/>
      <w:bookmarkEnd w:id="129"/>
      <w:r w:rsidRPr="00EB47ED">
        <w:rPr>
          <w:rFonts w:ascii="Arial" w:eastAsia="Times New Roman" w:hAnsi="Arial" w:cs="Arial"/>
          <w:b/>
          <w:bCs/>
          <w:sz w:val="24"/>
          <w:szCs w:val="24"/>
          <w:lang w:eastAsia="sr-Latn-RS"/>
        </w:rPr>
        <w:t xml:space="preserve">Granične vrednosti emisije za praškaste neorganske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ukupne praškaste neorganske materije u otpadnom gasu, razvrstane u klase od I do III, 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1) 0,05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0,25 g/h i veći za 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živa i njena jedinjenja izražena kao Hg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talijum i njegova jedinjenja izražena kao Tl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2) 0,5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2,5 g/h i veći za II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olovo i njegova jedinjenja izraženi kao Pb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kobalt i njegova jedinjenja izražena kao Co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nikl i njegova jedinjenja izražena kao Ni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selen i njegova jedinjenja izražena kao Se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telur i njegova jedinjenja izražena kao Te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3) 1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5 g/h i veći za III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antimon i njegova jedinjenja izraženi kao Sb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hrom i njegova jedinjenja izraženi kao Cr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cijanidi lako rastvorljivi (npr. NaCn) izraženi kao CN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fluoridi lako rastvorljivi (npr. NaF) izraženi kao F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bakar i njegova jedinjenja izraženi kao Cu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mangan i njegova jedinjenja izraženi kao Mn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vanadijum i njegova jedinjenja izraženi kao V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kalaj i njegova jedinjenja izraženi kao Sn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Ako se u otpadnom gasu nalaze praškaste neorganske materije iz različitih klasa, za svaku zagađujuću materiju primenjuje se granična vrednost emisije propisana ovim prilogom, a ukupna granična vrednost emisije 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0,5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materije I i II klase za maseni protok 2,5 g/h i veći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materije I i III klase za maseni protok 5 g/h i veći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1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materije II i III klase za maseni protok 5 g/h i veći.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praškaste neorganske materije primenjuju se i u slučaju ako se navedene zagađujuće materije, pri posebnim fizičkim uslovima (pritisak, temperatura) nalaze u otpadnom gasu u obliku gasa ili tečnosti.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Ako se u otpadnom gasu nalaze praškaste neorganske materije koje su prema propisima koji uređuju hemikalije klasifikovane kao karcinogene, mutagene za germinativne ćelije ili </w:t>
      </w:r>
      <w:r w:rsidRPr="00EB47ED">
        <w:rPr>
          <w:rFonts w:ascii="Arial" w:eastAsia="Times New Roman" w:hAnsi="Arial" w:cs="Arial"/>
          <w:lang w:eastAsia="sr-Latn-RS"/>
        </w:rPr>
        <w:lastRenderedPageBreak/>
        <w:t xml:space="preserve">toksične po reprodukciju, takve praškaste neorganske materije dodaju se III klasi i na njih se primenjuje granična vrednost emisije propisana za III klasu opasnosti.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30" w:name="str_111"/>
      <w:bookmarkEnd w:id="130"/>
      <w:r w:rsidRPr="00EB47ED">
        <w:rPr>
          <w:rFonts w:ascii="Arial" w:eastAsia="Times New Roman" w:hAnsi="Arial" w:cs="Arial"/>
          <w:b/>
          <w:bCs/>
          <w:sz w:val="24"/>
          <w:szCs w:val="24"/>
          <w:lang w:eastAsia="sr-Latn-RS"/>
        </w:rPr>
        <w:t xml:space="preserve">Granične vrednosti emisije za neorganske gasovite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ukupne neorganske gasovite materije u otpadnom gasu, razvrstane u klase od I do IV, 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1) 0,5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2,5 g/h i veći za 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arsin (arsen hidrid-AsH</w:t>
      </w:r>
      <w:r w:rsidRPr="00EB47ED">
        <w:rPr>
          <w:rFonts w:ascii="Arial" w:eastAsia="Times New Roman" w:hAnsi="Arial" w:cs="Arial"/>
          <w:sz w:val="15"/>
          <w:szCs w:val="15"/>
          <w:vertAlign w:val="sub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hlorcijanid-CNCl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fozgen-COCl</w:t>
      </w:r>
      <w:r w:rsidRPr="00EB47ED">
        <w:rPr>
          <w:rFonts w:ascii="Arial" w:eastAsia="Times New Roman" w:hAnsi="Arial" w:cs="Arial"/>
          <w:sz w:val="15"/>
          <w:szCs w:val="15"/>
          <w:vertAlign w:val="subscript"/>
          <w:lang w:eastAsia="sr-Latn-RS"/>
        </w:rPr>
        <w:t>2</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fosfin (fosfor hidrid-PH</w:t>
      </w:r>
      <w:r w:rsidRPr="00EB47ED">
        <w:rPr>
          <w:rFonts w:ascii="Arial" w:eastAsia="Times New Roman" w:hAnsi="Arial" w:cs="Arial"/>
          <w:sz w:val="15"/>
          <w:szCs w:val="15"/>
          <w:vertAlign w:val="subscript"/>
          <w:lang w:eastAsia="sr-Latn-RS"/>
        </w:rPr>
        <w:t>3</w:t>
      </w:r>
      <w:r w:rsidRPr="00EB47ED">
        <w:rPr>
          <w:rFonts w:ascii="Arial" w:eastAsia="Times New Roman" w:hAnsi="Arial" w:cs="Arial"/>
          <w:lang w:eastAsia="sr-Latn-RS"/>
        </w:rPr>
        <w:t xml:space="preserv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2) 3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15 g/h i veći za II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brom i njegova gasovita jedinjenja, izraženi kao bromovodonik-HBr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hlor-Cl</w:t>
      </w:r>
      <w:r w:rsidRPr="00EB47ED">
        <w:rPr>
          <w:rFonts w:ascii="Arial" w:eastAsia="Times New Roman" w:hAnsi="Arial" w:cs="Arial"/>
          <w:sz w:val="15"/>
          <w:szCs w:val="15"/>
          <w:vertAlign w:val="subscript"/>
          <w:lang w:eastAsia="sr-Latn-RS"/>
        </w:rPr>
        <w:t>2</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cijanovodonična kiselina-HCN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fluor i njegova gasovita jedinjenja, izraženi kao fluorovodonik-HF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vodonik sulfid-H</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xml:space="preserve">S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3) 30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150 g/h i veći za III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amonijak-NH</w:t>
      </w:r>
      <w:r w:rsidRPr="00EB47ED">
        <w:rPr>
          <w:rFonts w:ascii="Arial" w:eastAsia="Times New Roman" w:hAnsi="Arial" w:cs="Arial"/>
          <w:sz w:val="15"/>
          <w:szCs w:val="15"/>
          <w:vertAlign w:val="subscript"/>
          <w:lang w:eastAsia="sr-Latn-RS"/>
        </w:rPr>
        <w:t>3</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jedinjenja hlora, ukoliko se ne nalaze u klasi I ili II, izraženi kao hlorovodonik-HCl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4) 350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1800 g/h i veći za IV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oksidi sumpora (sumpor dioksid i sumpor trioksid) izraženi kao sumpor dioksid-SO</w:t>
      </w:r>
      <w:r w:rsidRPr="00EB47ED">
        <w:rPr>
          <w:rFonts w:ascii="Arial" w:eastAsia="Times New Roman" w:hAnsi="Arial" w:cs="Arial"/>
          <w:sz w:val="15"/>
          <w:szCs w:val="15"/>
          <w:vertAlign w:val="subscript"/>
          <w:lang w:eastAsia="sr-Latn-RS"/>
        </w:rPr>
        <w:t>2</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oksidi azota (azot monoksid i azot dioksid) izraženi kao azot dioksid-NO</w:t>
      </w:r>
      <w:r w:rsidRPr="00EB47ED">
        <w:rPr>
          <w:rFonts w:ascii="Arial" w:eastAsia="Times New Roman" w:hAnsi="Arial" w:cs="Arial"/>
          <w:sz w:val="15"/>
          <w:szCs w:val="15"/>
          <w:vertAlign w:val="subscript"/>
          <w:lang w:eastAsia="sr-Latn-RS"/>
        </w:rPr>
        <w:t>2</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U otpadnim gasovima koji su nastali iz postrojenja za termičko ili katalitičko naknadno sagorevanje, granična vrednost emisije za azot monoksid i azot dioksid, izraženi kao NO</w:t>
      </w:r>
      <w:r w:rsidRPr="00EB47ED">
        <w:rPr>
          <w:rFonts w:ascii="Arial" w:eastAsia="Times New Roman" w:hAnsi="Arial" w:cs="Arial"/>
          <w:sz w:val="15"/>
          <w:szCs w:val="15"/>
          <w:vertAlign w:val="subscript"/>
          <w:lang w:eastAsia="sr-Latn-RS"/>
        </w:rPr>
        <w:t>2</w:t>
      </w:r>
      <w:r w:rsidRPr="00EB47ED">
        <w:rPr>
          <w:rFonts w:ascii="Arial" w:eastAsia="Times New Roman" w:hAnsi="Arial" w:cs="Arial"/>
          <w:lang w:eastAsia="sr-Latn-RS"/>
        </w:rPr>
        <w:t>, iznosi 350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pri masenom protoku do 1800 g/h i 200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1800 g/h i veći, dok granična vrednost emisije za ugljen monoksid iznosi 100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pri svim masenim protocima.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31" w:name="str_112"/>
      <w:bookmarkEnd w:id="131"/>
      <w:r w:rsidRPr="00EB47ED">
        <w:rPr>
          <w:rFonts w:ascii="Arial" w:eastAsia="Times New Roman" w:hAnsi="Arial" w:cs="Arial"/>
          <w:b/>
          <w:bCs/>
          <w:sz w:val="24"/>
          <w:szCs w:val="24"/>
          <w:lang w:eastAsia="sr-Latn-RS"/>
        </w:rPr>
        <w:t xml:space="preserve">Granične vrednosti emisije za organske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Granična vrednost emisije za ukupne organske materije u otpadnom gasu, osim za praškaste organske materije, izražene kao ukupni ugljenik, iznosi 50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od 500 g/h i veći.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Granična vrednost emisije za organske materije u otpadnom gasu, razvrstane u I klasu, iznosi 20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100 g/h i veći.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Organske materije u otpadnom gasu, razvrstane u I klasu, date su u sledećoj tabeli: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Tabela 95.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980"/>
        <w:gridCol w:w="118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Organska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CAS broj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1,1,2,2-tetrabromoetan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79-27-6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1,2,3-propantriol, trinitrat (nitroglicerin)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55-63-0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1,2,4-benzentrikarboksilna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528-44-9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1,2-benzendiol (pirokatehin), 1,2-dihidroksibenzen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120-80-9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1,2-etandiamin, N-(2-aminoetil)-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111-40-0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1,2-etandiol, dinitrat (etilen glikol dinitrat)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628-96-6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1,2-propandiol, dinitrat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6423-43-4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1,1,2,3,4,4-heksahloro-1,3-butadien (heksahlorobutadien)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87-68-3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1,3-propandiamin (N,N-bis(3-aminopropil)metilamin)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105-83-9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1,4-dioksan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123-91-1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1,5-naftalendiamin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2243-62-1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1,6-heksametilendiizocijanat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822-06-0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1,6-heksandiamin (heksametilendiamin)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124-09-4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1-butanamin (1-aminobutanbutilamin)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109-73-9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butan-1-tiol (butil merkaptan)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109-79-5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1-naftalenamin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134-32-7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3-hloro-2-metilpropen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563-47-3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2,4,7-trinitrofluorenon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129-79-3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2,5-furandion (anhidrid maleinske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108-31-6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2-butenal (kroton aldehid)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123-73-9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2-butin-1,4-diol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110-65-6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2-hloro-1,3-butadien (hloropren)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126-99-8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3,5,5-trimetil-2-cikloheksan-1-on (izoforon)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78-59-1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2-etoksietil-acetat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111-15-9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2-furankarboksi aldehid (furfural)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98-01-1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2-furanmetanamin (furfurilamin)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617-89-0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2-heksanon (butil metil keton)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591-78-6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2-imidazolidinetion (etilen tiourea)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96-45-7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2-metil-m-fenilendiamin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823-40-5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2-naftil fenil 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135-88-6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2-nitro-p-fenilendiamin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5307-14-2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2-metil-2-propanamin (terc-butilamin)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75-64-9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2-propenal (akrolein, akrilaldehid)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107-02-8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butil estar 2-propionske kiseline (butil estar akrilne kiseline, butil akrilat, n-butil-akrilat)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141-32-2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etil estar 2-propionske kiseline (etil estar akrilne kiseline, etil-akrilat)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140-88-5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metil estar 2-propionske kiseline (metil estar akrilne kiseline, metil-akrilat)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96-33-3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2-propin-1-ol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107-19-7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3,3-diaminobenzidin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91-95-2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4,4‘-metilenbis(2-metilcikloheksilam)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6864-37-5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4-amino-2-nitrofenol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119-34-6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4-metil-3-oksa-1-pentanol (etilen glikol izopropil etar, 2-izopropoksietanol)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109-59-1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4-terc-butiltoluen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98-51-1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acetaldehid (etanal)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75-07-0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acetamid (amid sirćetne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60-35-5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N-fenilacetamid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103-84-4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anhidrid sirćetne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108-24-7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vinil acetat (etenil estar sirćetne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108-05-4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hlorosirćetna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79-11-8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metil-hloroacetat (metil estar hlorosirćetne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96-34-4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metoksi sirćetna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625-45-6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trihlorosirćetna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76-03-9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akrilna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79-10-7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alkil olovna jedinjenja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62-53-3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N-metilanilin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100-61-8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2,4-dimetilbenzenamin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95-68-1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2-metil-5-nitrobenzenamin (5-nitro-o-toluidin)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99-55-8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4-metoksi benzenamin (4-metosianilin)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104-94-9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5-hloro-2-metil benzenamin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95-79-4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N,N-dimetil benzenamin (N,N-dimetilanilin)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121-69-7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dihlorometil benzen (α, α - dihlorotoluen)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98-87-3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1,1‘-metilenbis[4-izocijanatobenzen (difenilmetan-4,4‘-diizocijanat)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101-68-8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1,2,4,5-tetrahlorobenzen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95-94-3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1-hloro-2-nitrobenzen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88-73-3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1-hloro-4-nitrobenzen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100-00-5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1-metil-3-nitrobenzen (3-nitrotoluen)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99-08-1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1-metil-4-nitrobenzen (4-nitrotoluen)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99-99-0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2,4-dihloro-1-metilbenzen (2,4-dihlorotoluen)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95-73-8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nitrobenzen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98-95-3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benzensulfonil-hlorid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98-09-9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benzoil-hlorid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98-88-4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benzoil-peroksid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94-36-0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bifenil (difenil)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92-52-4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bis(2-etilheksil) ftalat [di-(2-etil heksil) ftalat]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117-81-7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izobutilamin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78-81-9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kamfor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76-22-2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kaprolaktam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105-60-2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dietilkarbamil-hlorid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88-10-8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ugljen tetrahlorid (tetrahlorometan)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56-23-5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karbonil-sulfid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463-58-1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izopropil estar hlorosirćetne kiseline (izopropil hloro acetat)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105-48-6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hloroform (trihlorometan)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67-66-3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hlorometan (metil 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74-87-3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hloropikrin (trihloronitrometan)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76-06-2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diaminoetan (etilendiamin)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107-15-3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dihlorofenoli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diglicidil etar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2238-07-5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2,6-diizocijanatotoluol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91-08-7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di-n-butiltindihlorid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683-18-1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dinitronaftalen (svi izomeri)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27478-34-8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difenil etar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101-84-8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difenilamin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122-39-4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difenilmetan-2,4´-diizocijanat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5873-54-1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N-etil etanamin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109-89-7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1,1,2,2-tetrahloroetan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79-34-5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1,1,2-trihloroetan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79-00-5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1,1-dihloro-1-nitroetan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594-72-9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heksahloroetan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67-72-1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pentahloroetan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76-01-7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etandial (glioksal)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107-22-2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etantiol (etil merkaptan)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75-08-1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2-hloroetanol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107-07-3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etanolamin (2-aminoetanol)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141-43-5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1,1-dihloroeten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75-35-4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1,1-difluoroeten (genetron 1132a)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75-38-7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etilhlorid (hloroetan)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75-00-3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etil hloroacetat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105-39-5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75-04-7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etilen (eten)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74-85-1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formaldehid (metanal)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50-00-0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formamid (metanamid)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75-12-7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mravlja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64-18-6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glutaral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111-30-8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anhidrid heksahidroftalne kiseline (anhidrid cikolheksan-1,2-dikarboksilne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85-42-7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2-etilheksan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149-57-5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fenil hidrazin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100-63-0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hidrokinon (1,4-benzendiol)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123-31-9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izoforon 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4098-71-9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keten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463-51-4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krezol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1319-77-3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olovoacetat (monobazni)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1335-32-6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mekrilat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137-05-3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N-metil metanamin (dimetilamin)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124-40-3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izocijanatometan (metilizocijanat)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624-83-9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tribromometan (bromoform)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75-25-2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metantiol (metil merkaptan)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74-93-1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metil bromid (bromometan)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74-83-9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metil 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107-05-1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metil jodid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74-88-4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74-89-5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metilen hlorid (dihlormetan)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75-09-2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m-nitroanilin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99-09-2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Zn-soli voskova montanske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73138-49-5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morfolin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110-91-8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N,N,N,N",N"-pentametildietilentriamin (bis(2-dimetilaminoetil)(metil)amin)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3030-47-5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1,5-diizocijanatonaftalen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3173-72-6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nitrokrezoli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nitrofenoli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nitropireni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5522-43-0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nitrotoluen (svi izomeri)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1321-12-6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N-metil-N,2,4,6-tetranitroanilin (tetril)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479-45-8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N-vinilpirolidon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88-12-0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o-nitroanilin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88-74-4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oksalna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144-62-7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p-benzokinon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106-51-4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pentahlorornaftalen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1321-64-8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fenol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108-95-2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2,4,5-trihlorofenol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95-95-4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p-terc-butilfenol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98-54-4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1-fenil-1-(p-tolil)-3-dimetilaminopropan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5632-44-0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anhidrid ftalne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85-44-9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ftalonitril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91-15-6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piperazin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110-85-0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p-nitroanilin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100-01-6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1,2-dihloropropan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78-87-5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1-bromopropan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106-94-5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2,2-dihloropropionska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75-99-0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p-toluidin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106-49-0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piridin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110-86-1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natrijum hloroacetat, natrijumove soli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3926-62-3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natrijum trihloroacetat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650-51-1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tetrahloroetilen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127-18-4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tioalkoholi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tioetri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tiourea (tiokarbamid)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62-56-6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2,6-toluendiizocijanat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584-84-9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trihloroaftalen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1321-65-9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trihlorobenzen (svi izomeri)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12002-48-1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trihloroetilen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79-01-6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trihlorofenoli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trikrezil fosfat (ooo,oom,oop,omm,omp,opp)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78-30-8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121-44-8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anhidrid trimelitne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552-30-7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tri-n-butilfosfat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126-73-8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trinitrotoluen (TNT)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118-96-7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ksilenoli (osim za 2,4-ksilenol)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1300-71-6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108-88-3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ksilen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olefinski ugljovodonici (izuzev 1,3-butadiena)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parafinski ugljovodonici (izuzev metana)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 organske materije I klase svrstavaju se i organske materije koje nisu navedene u tabeli 95. a klasifikovane su prema propisima koji uređuju hemikalije, kao: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1) hemikalije koje su karcinogene ili mutagene za germinativne ćelije;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2) hemikalije koje su toksične po reprodukciju;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3) specifično toksične za ciljni organ, jednokratna izloženost, kategorija 1 i specifično toksične za ciljni organ, višekratna izloženost, kategorija 1;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odnosno hemikalije koje poseduju sledeća svojstva: veoma intenzivan miris i koje su perzistentne-bioakumulativne-toksične (PBT) i veoma perzistentne - veoma bioakumulativne (vPvB).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Granična vrednost emisije za organske materije u otpadnom gasu, razvrstane u II klasu, iznosi 100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500 g/h i veći.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Organske materije u otpadnom gasu, razvrstane u II klasu 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1-bromo-3-hloropropan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1,1-dihloroetan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1,2-dihloroetilen, cis i trans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etanska kiselina (sirćetna kiselina)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metil formijat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nitroetan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nitrometan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oktametilciklotetrasiloksan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1,1,1-trihloroetan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1,3,5-trioksan.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Ukoliko se u otpadnom gasu nalaze organske materije iz I i II klase primenjuju se granične vrednosti emisije propisane za II klasu. </w:t>
      </w:r>
    </w:p>
    <w:p w:rsidR="00EB47ED" w:rsidRPr="00EB47ED" w:rsidRDefault="00EB47ED" w:rsidP="00EB47ED">
      <w:pPr>
        <w:spacing w:before="240" w:after="240" w:line="240" w:lineRule="auto"/>
        <w:jc w:val="center"/>
        <w:rPr>
          <w:rFonts w:ascii="Arial" w:eastAsia="Times New Roman" w:hAnsi="Arial" w:cs="Arial"/>
          <w:b/>
          <w:bCs/>
          <w:sz w:val="24"/>
          <w:szCs w:val="24"/>
          <w:lang w:eastAsia="sr-Latn-RS"/>
        </w:rPr>
      </w:pPr>
      <w:bookmarkStart w:id="132" w:name="str_113"/>
      <w:bookmarkEnd w:id="132"/>
      <w:r w:rsidRPr="00EB47ED">
        <w:rPr>
          <w:rFonts w:ascii="Arial" w:eastAsia="Times New Roman" w:hAnsi="Arial" w:cs="Arial"/>
          <w:b/>
          <w:bCs/>
          <w:sz w:val="24"/>
          <w:szCs w:val="24"/>
          <w:lang w:eastAsia="sr-Latn-RS"/>
        </w:rPr>
        <w:t xml:space="preserve">Granične vrednosti emisije za karcinogene materije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Granične vrednosti emisije za ukupne karcinogene materije u otpadnom gasu, razvrstane u klase od I do III, 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1) 0,05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0,15 g/h i veći za 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arsen i njegova jedinjenja, osim arsina, izraženi kao As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policiklični aromatični ugljovodonici izraženi kao benzo(a)piren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kadmijum i njegova jedinjenja, izraženi kao Cd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jedinjenja kobalta rastvorljiva u vodi, izraženi kao Co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jedinjenja hroma (VI) (osim barijum hromata i olovo hromata), izraženi kao Cr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2) 0,5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1,5 g/h i veći za II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bookmarkStart w:id="133" w:name="_GoBack"/>
      <w:bookmarkEnd w:id="133"/>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akrilamid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lastRenderedPageBreak/>
        <w:t xml:space="preserve">- </w:t>
      </w:r>
      <w:r w:rsidRPr="00EB47ED">
        <w:rPr>
          <w:rFonts w:ascii="Arial" w:eastAsia="Times New Roman" w:hAnsi="Arial" w:cs="Arial"/>
          <w:lang w:eastAsia="sr-Latn-RS"/>
        </w:rPr>
        <w:t xml:space="preserve">akrilonitril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dinitrotoluen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etilen oksid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nikl i njegova jedinjenja (osim metalnog nikla, legura nikla, nikl karbonata, nikl hidroksida, nikl tetrakarbonila), izraženi kao Ni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4-vinil-1,2-cikloheksandiepoksid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3) 1 mg/normalni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 za maseni protok od 2,5 g/h i veći za III klasu: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benzen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bromoetan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1,3-butadien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1,2-dihloroetan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1,2-propilen oksid (1,2-epoksi propan)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stiren oksid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o-toluidin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trihloroeten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b/>
          <w:bCs/>
          <w:lang w:eastAsia="sr-Latn-RS"/>
        </w:rPr>
        <w:t xml:space="preserve">- </w:t>
      </w:r>
      <w:r w:rsidRPr="00EB47ED">
        <w:rPr>
          <w:rFonts w:ascii="Arial" w:eastAsia="Times New Roman" w:hAnsi="Arial" w:cs="Arial"/>
          <w:lang w:eastAsia="sr-Latn-RS"/>
        </w:rPr>
        <w:t xml:space="preserve">vinil hlorid. </w:t>
      </w:r>
    </w:p>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Ako se u otpadnom gasu nalaze karcinogene materije koje pripadaju različitim klasama opasnosti, ukupna granična vrednost emisije za II klasu ne sme da bude prekoračena ako se karcinogene materije iz I i II klase javljaju istovremeno u otpadnom gasu. Ukupna granična vrednost emisije za III klasu karcinogenih materija ne sme da bude prekoračena, ako se karcinogene materije I i III klase, II i III klase ili karcinogene materije od I do III klase javljaju istovremeno u otpadnom gasu. </w:t>
      </w:r>
    </w:p>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p w:rsidR="00EB47ED" w:rsidRPr="00EB47ED" w:rsidRDefault="00EB47ED" w:rsidP="00EB47ED">
      <w:pPr>
        <w:spacing w:after="0" w:line="240" w:lineRule="auto"/>
        <w:jc w:val="center"/>
        <w:rPr>
          <w:rFonts w:ascii="Arial" w:eastAsia="Times New Roman" w:hAnsi="Arial" w:cs="Arial"/>
          <w:b/>
          <w:bCs/>
          <w:sz w:val="31"/>
          <w:szCs w:val="31"/>
          <w:lang w:eastAsia="sr-Latn-RS"/>
        </w:rPr>
      </w:pPr>
      <w:bookmarkStart w:id="134" w:name="str_114"/>
      <w:bookmarkEnd w:id="134"/>
      <w:r w:rsidRPr="00EB47ED">
        <w:rPr>
          <w:rFonts w:ascii="Arial" w:eastAsia="Times New Roman" w:hAnsi="Arial" w:cs="Arial"/>
          <w:b/>
          <w:bCs/>
          <w:sz w:val="31"/>
          <w:szCs w:val="31"/>
          <w:lang w:eastAsia="sr-Latn-RS"/>
        </w:rPr>
        <w:t xml:space="preserve">Prilog 3. </w:t>
      </w:r>
    </w:p>
    <w:p w:rsidR="00EB47ED" w:rsidRPr="00EB47ED" w:rsidRDefault="00EB47ED" w:rsidP="00EB47ED">
      <w:pPr>
        <w:spacing w:after="0" w:line="240" w:lineRule="auto"/>
        <w:jc w:val="center"/>
        <w:rPr>
          <w:rFonts w:ascii="Arial" w:eastAsia="Times New Roman" w:hAnsi="Arial" w:cs="Arial"/>
          <w:b/>
          <w:bCs/>
          <w:sz w:val="31"/>
          <w:szCs w:val="31"/>
          <w:lang w:eastAsia="sr-Latn-RS"/>
        </w:rPr>
      </w:pPr>
      <w:r w:rsidRPr="00EB47ED">
        <w:rPr>
          <w:rFonts w:ascii="Arial" w:eastAsia="Times New Roman" w:hAnsi="Arial" w:cs="Arial"/>
          <w:b/>
          <w:bCs/>
          <w:sz w:val="31"/>
          <w:szCs w:val="31"/>
          <w:lang w:eastAsia="sr-Latn-RS"/>
        </w:rPr>
        <w:t xml:space="preserve">IZVEŠTAJ O GODIŠNJEM BILANSU EMISIJA </w:t>
      </w:r>
    </w:p>
    <w:p w:rsidR="00EB47ED" w:rsidRPr="00EB47ED" w:rsidRDefault="00EB47ED" w:rsidP="00EB47ED">
      <w:pPr>
        <w:spacing w:before="100" w:beforeAutospacing="1" w:after="100" w:afterAutospacing="1" w:line="240" w:lineRule="auto"/>
        <w:jc w:val="center"/>
        <w:rPr>
          <w:rFonts w:ascii="Arial" w:eastAsia="Times New Roman" w:hAnsi="Arial" w:cs="Arial"/>
          <w:b/>
          <w:bCs/>
          <w:lang w:eastAsia="sr-Latn-RS"/>
        </w:rPr>
      </w:pPr>
      <w:r w:rsidRPr="00EB47ED">
        <w:rPr>
          <w:rFonts w:ascii="Arial" w:eastAsia="Times New Roman" w:hAnsi="Arial" w:cs="Arial"/>
          <w:b/>
          <w:bCs/>
          <w:lang w:eastAsia="sr-Latn-RS"/>
        </w:rPr>
        <w:t xml:space="preserve">OPŠTI PODACI O IZVORU ZAGAĐIVANJA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744"/>
        <w:gridCol w:w="274"/>
        <w:gridCol w:w="274"/>
        <w:gridCol w:w="274"/>
        <w:gridCol w:w="274"/>
        <w:gridCol w:w="5302"/>
      </w:tblGrid>
      <w:tr w:rsidR="00EB47ED" w:rsidRPr="00EB47ED" w:rsidTr="00EB47ED">
        <w:trPr>
          <w:tblCellSpacing w:w="0" w:type="dxa"/>
        </w:trPr>
        <w:tc>
          <w:tcPr>
            <w:tcW w:w="1500" w:type="pct"/>
            <w:vAlign w:val="center"/>
            <w:hideMark/>
          </w:tcPr>
          <w:p w:rsidR="00EB47ED" w:rsidRPr="00EB47ED" w:rsidRDefault="00EB47ED" w:rsidP="00EB47ED">
            <w:pPr>
              <w:spacing w:before="100" w:beforeAutospacing="1" w:after="100" w:afterAutospacing="1" w:line="240" w:lineRule="auto"/>
              <w:jc w:val="right"/>
              <w:rPr>
                <w:rFonts w:ascii="Arial" w:eastAsia="Times New Roman" w:hAnsi="Arial" w:cs="Arial"/>
                <w:b/>
                <w:bCs/>
                <w:lang w:eastAsia="sr-Latn-RS"/>
              </w:rPr>
            </w:pPr>
            <w:r w:rsidRPr="00EB47ED">
              <w:rPr>
                <w:rFonts w:ascii="Arial" w:eastAsia="Times New Roman" w:hAnsi="Arial" w:cs="Arial"/>
                <w:b/>
                <w:bCs/>
                <w:lang w:eastAsia="sr-Latn-RS"/>
              </w:rPr>
              <w:t xml:space="preserve">Izveštaj za </w:t>
            </w:r>
          </w:p>
        </w:tc>
        <w:tc>
          <w:tcPr>
            <w:tcW w:w="150" w:type="pct"/>
            <w:tcBorders>
              <w:top w:val="single" w:sz="2" w:space="0" w:color="000000"/>
              <w:left w:val="single" w:sz="6" w:space="0" w:color="000000"/>
              <w:bottom w:val="single" w:sz="6" w:space="0" w:color="000000"/>
              <w:right w:val="single" w:sz="6" w:space="0" w:color="000000"/>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150" w:type="pct"/>
            <w:tcBorders>
              <w:top w:val="single" w:sz="2" w:space="0" w:color="000000"/>
              <w:left w:val="single" w:sz="2" w:space="0" w:color="000000"/>
              <w:bottom w:val="single" w:sz="6" w:space="0" w:color="000000"/>
              <w:right w:val="single" w:sz="6" w:space="0" w:color="000000"/>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150" w:type="pct"/>
            <w:tcBorders>
              <w:top w:val="single" w:sz="2" w:space="0" w:color="000000"/>
              <w:left w:val="single" w:sz="2" w:space="0" w:color="000000"/>
              <w:bottom w:val="single" w:sz="6" w:space="0" w:color="000000"/>
              <w:right w:val="single" w:sz="6" w:space="0" w:color="000000"/>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150" w:type="pct"/>
            <w:tcBorders>
              <w:top w:val="single" w:sz="2" w:space="0" w:color="000000"/>
              <w:left w:val="single" w:sz="2" w:space="0" w:color="000000"/>
              <w:bottom w:val="single" w:sz="6" w:space="0" w:color="000000"/>
              <w:right w:val="single" w:sz="6" w:space="0" w:color="000000"/>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2900" w:type="pct"/>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w:t>
            </w:r>
            <w:r w:rsidRPr="00EB47ED">
              <w:rPr>
                <w:rFonts w:ascii="Arial" w:eastAsia="Times New Roman" w:hAnsi="Arial" w:cs="Arial"/>
                <w:b/>
                <w:bCs/>
                <w:lang w:eastAsia="sr-Latn-RS"/>
              </w:rPr>
              <w:t>godinu</w:t>
            </w: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  </w:t>
            </w:r>
          </w:p>
        </w:tc>
        <w:tc>
          <w:tcPr>
            <w:tcW w:w="0" w:type="auto"/>
            <w:tcBorders>
              <w:top w:val="single" w:sz="2" w:space="0" w:color="000000"/>
              <w:left w:val="single" w:sz="6" w:space="0" w:color="000000"/>
              <w:bottom w:val="single" w:sz="2" w:space="0" w:color="000000"/>
              <w:right w:val="single" w:sz="6" w:space="0" w:color="000000"/>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single" w:sz="2" w:space="0" w:color="000000"/>
              <w:left w:val="single" w:sz="2" w:space="0" w:color="000000"/>
              <w:bottom w:val="single" w:sz="2" w:space="0" w:color="000000"/>
              <w:right w:val="single" w:sz="6" w:space="0" w:color="000000"/>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single" w:sz="2" w:space="0" w:color="000000"/>
              <w:left w:val="single" w:sz="2" w:space="0" w:color="000000"/>
              <w:bottom w:val="single" w:sz="2" w:space="0" w:color="000000"/>
              <w:right w:val="single" w:sz="6" w:space="0" w:color="000000"/>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single" w:sz="2" w:space="0" w:color="000000"/>
              <w:left w:val="single" w:sz="2" w:space="0" w:color="000000"/>
              <w:bottom w:val="single" w:sz="2" w:space="0" w:color="000000"/>
              <w:right w:val="single" w:sz="6" w:space="0" w:color="000000"/>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Arial" w:eastAsia="Times New Roman" w:hAnsi="Arial" w:cs="Arial"/>
          <w:sz w:val="26"/>
          <w:szCs w:val="26"/>
          <w:lang w:eastAsia="sr-Latn-RS"/>
        </w:rPr>
      </w:pPr>
      <w:r w:rsidRPr="00EB47ED">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82"/>
        <w:gridCol w:w="1283"/>
        <w:gridCol w:w="6597"/>
      </w:tblGrid>
      <w:tr w:rsidR="00EB47ED" w:rsidRPr="00EB47ED" w:rsidTr="00EB47E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PODACI O PREDUZEĆU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Poreski identifikacioni broj (PIB) </w:t>
            </w:r>
          </w:p>
        </w:tc>
        <w:tc>
          <w:tcPr>
            <w:tcW w:w="360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Matični broj preduzeća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Pun naziv preduzeća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Adresa </w:t>
            </w:r>
          </w:p>
        </w:tc>
        <w:tc>
          <w:tcPr>
            <w:tcW w:w="7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Šifra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Poštanski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Telefaks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 mail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Opština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Šifra opštine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Šifra pretežne delatnosti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PODACI O ODGOVORNOM LICU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Ime i 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Funkcija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PODACI O LICU ODGOVORNOM ZA SARADNJU SA AGENCIJOM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Ime i 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Funkcija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 mail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PODACI O POSTROJENJU KOJE JE IZVOR ZAGAĐIVANJA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Naziv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Adresa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Mesto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Šifra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Poštanski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Telefaks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 mail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Opština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Šifra opštine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740"/>
        <w:gridCol w:w="825"/>
        <w:gridCol w:w="6597"/>
      </w:tblGrid>
      <w:tr w:rsidR="00EB47ED" w:rsidRPr="00EB47ED" w:rsidTr="00EB47ED">
        <w:trPr>
          <w:tblCellSpacing w:w="0" w:type="dxa"/>
        </w:trPr>
        <w:tc>
          <w:tcPr>
            <w:tcW w:w="9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Geografske koordinate postrojenja </w:t>
            </w:r>
          </w:p>
        </w:tc>
        <w:tc>
          <w:tcPr>
            <w:tcW w:w="4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 </w:t>
            </w:r>
          </w:p>
        </w:tc>
        <w:tc>
          <w:tcPr>
            <w:tcW w:w="360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PRTR kod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72"/>
        <w:gridCol w:w="3004"/>
        <w:gridCol w:w="690"/>
        <w:gridCol w:w="2296"/>
      </w:tblGrid>
      <w:tr w:rsidR="00EB47ED" w:rsidRPr="00EB47ED" w:rsidTr="00EB47ED">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262626"/>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Pod materijalnom i krivičnom odgovornošću potvrđujem da su u izveštaju date informacije istinite, a količine i vrednosti tačne i određene ili procenjene u skladu sa važećom zakonskom regulativom Republike Srbije.</w:t>
            </w:r>
          </w:p>
        </w:tc>
      </w:tr>
      <w:tr w:rsidR="00EB47ED" w:rsidRPr="00EB47ED" w:rsidTr="00EB47ED">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Ime i prezime odgovorne osobe </w:t>
            </w:r>
          </w:p>
        </w:tc>
        <w:tc>
          <w:tcPr>
            <w:tcW w:w="180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Overa </w:t>
            </w:r>
            <w:r w:rsidRPr="00EB47ED">
              <w:rPr>
                <w:rFonts w:ascii="Arial" w:eastAsia="Times New Roman" w:hAnsi="Arial" w:cs="Arial"/>
                <w:lang w:eastAsia="sr-Latn-RS"/>
              </w:rPr>
              <w:lastRenderedPageBreak/>
              <w:t>i</w:t>
            </w:r>
            <w:r w:rsidRPr="00EB47ED">
              <w:rPr>
                <w:rFonts w:ascii="Arial" w:eastAsia="Times New Roman" w:hAnsi="Arial" w:cs="Arial"/>
                <w:lang w:eastAsia="sr-Latn-RS"/>
              </w:rPr>
              <w:br/>
              <w:t xml:space="preserve">pečat </w:t>
            </w:r>
          </w:p>
        </w:tc>
        <w:tc>
          <w:tcPr>
            <w:tcW w:w="1500" w:type="pct"/>
            <w:vMerge w:val="restar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Potpis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Datum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bl>
    <w:p w:rsidR="00EB47ED" w:rsidRPr="00EB47ED" w:rsidRDefault="00EB47ED" w:rsidP="00EB47ED">
      <w:pPr>
        <w:spacing w:before="100" w:beforeAutospacing="1" w:after="100" w:afterAutospacing="1" w:line="240" w:lineRule="auto"/>
        <w:jc w:val="center"/>
        <w:rPr>
          <w:rFonts w:ascii="Arial" w:eastAsia="Times New Roman" w:hAnsi="Arial" w:cs="Arial"/>
          <w:b/>
          <w:bCs/>
          <w:lang w:eastAsia="sr-Latn-RS"/>
        </w:rPr>
      </w:pPr>
      <w:r w:rsidRPr="00EB47ED">
        <w:rPr>
          <w:rFonts w:ascii="Arial" w:eastAsia="Times New Roman" w:hAnsi="Arial" w:cs="Arial"/>
          <w:b/>
          <w:bCs/>
          <w:lang w:eastAsia="sr-Latn-RS"/>
        </w:rPr>
        <w:t xml:space="preserve">EMISIJE U VAZDUH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375"/>
        <w:gridCol w:w="2840"/>
        <w:gridCol w:w="4947"/>
      </w:tblGrid>
      <w:tr w:rsidR="00EB47ED" w:rsidRPr="00EB47ED" w:rsidTr="00EB47E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PODACI O IZVORU </w:t>
            </w:r>
          </w:p>
        </w:tc>
      </w:tr>
      <w:tr w:rsidR="00EB47ED" w:rsidRPr="00EB47ED" w:rsidTr="00EB47ED">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Broj i naziv izvora </w:t>
            </w:r>
          </w:p>
        </w:tc>
        <w:tc>
          <w:tcPr>
            <w:tcW w:w="1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Broj </w:t>
            </w:r>
          </w:p>
        </w:tc>
        <w:tc>
          <w:tcPr>
            <w:tcW w:w="270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1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Times New Roman" w:eastAsia="Times New Roman" w:hAnsi="Times New Roman" w:cs="Times New Roman"/>
                <w:sz w:val="24"/>
                <w:szCs w:val="24"/>
                <w:lang w:eastAsia="sr-Latn-RS"/>
              </w:rPr>
            </w:pPr>
            <w:r w:rsidRPr="00EB47ED">
              <w:rPr>
                <w:rFonts w:ascii="Times New Roman" w:eastAsia="Times New Roman" w:hAnsi="Times New Roman" w:cs="Times New Roman"/>
                <w:sz w:val="24"/>
                <w:szCs w:val="24"/>
                <w:lang w:eastAsia="sr-Latn-RS"/>
              </w:rPr>
              <w:t>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215"/>
        <w:gridCol w:w="3573"/>
        <w:gridCol w:w="1374"/>
      </w:tblGrid>
      <w:tr w:rsidR="00EB47ED" w:rsidRPr="00EB47ED" w:rsidTr="00EB47ED">
        <w:trPr>
          <w:tblCellSpacing w:w="0" w:type="dxa"/>
        </w:trPr>
        <w:tc>
          <w:tcPr>
            <w:tcW w:w="23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Vrsta izvora </w:t>
            </w:r>
          </w:p>
        </w:tc>
        <w:tc>
          <w:tcPr>
            <w:tcW w:w="19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Energetski </w:t>
            </w:r>
          </w:p>
        </w:tc>
        <w:tc>
          <w:tcPr>
            <w:tcW w:w="75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Industrijski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214"/>
        <w:gridCol w:w="275"/>
        <w:gridCol w:w="4673"/>
      </w:tblGrid>
      <w:tr w:rsidR="00EB47ED" w:rsidRPr="00EB47ED" w:rsidTr="00EB47ED">
        <w:trPr>
          <w:tblCellSpacing w:w="0" w:type="dxa"/>
        </w:trPr>
        <w:tc>
          <w:tcPr>
            <w:tcW w:w="23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Geografska dužina i širina </w:t>
            </w:r>
          </w:p>
        </w:tc>
        <w:tc>
          <w:tcPr>
            <w:tcW w:w="1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 </w:t>
            </w:r>
          </w:p>
        </w:tc>
        <w:tc>
          <w:tcPr>
            <w:tcW w:w="255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215"/>
        <w:gridCol w:w="4947"/>
      </w:tblGrid>
      <w:tr w:rsidR="00EB47ED" w:rsidRPr="00EB47ED" w:rsidTr="00EB47ED">
        <w:trP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Nadmorska visina (mnv) </w:t>
            </w:r>
          </w:p>
        </w:tc>
        <w:tc>
          <w:tcPr>
            <w:tcW w:w="270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Instalisana toplotna snaga na ulazu (MWth)</w:t>
            </w:r>
            <w:r w:rsidRPr="00EB47ED">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Godišnja iskorišćenost kapaciteta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831"/>
        <w:gridCol w:w="2331"/>
      </w:tblGrid>
      <w:tr w:rsidR="00EB47ED" w:rsidRPr="00EB47ED" w:rsidTr="00EB47ED">
        <w:trP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Visina emitera (m) </w:t>
            </w:r>
          </w:p>
        </w:tc>
        <w:tc>
          <w:tcPr>
            <w:tcW w:w="270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Unutrašnji prečnik izvora na vrhu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Srednja godišnja temperatura izlaznih gasova na mernom mestu (°C)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Srednja godišnja brzina izlaznih gasova na mernom mestu (m/s)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Srednji godišnji izlazni protok na mernom mestu (normalni m</w:t>
            </w:r>
            <w:r w:rsidRPr="00EB47ED">
              <w:rPr>
                <w:rFonts w:ascii="Arial" w:eastAsia="Times New Roman" w:hAnsi="Arial" w:cs="Arial"/>
                <w:sz w:val="15"/>
                <w:szCs w:val="15"/>
                <w:vertAlign w:val="superscript"/>
                <w:lang w:eastAsia="sr-Latn-RS"/>
              </w:rPr>
              <w:t>3</w:t>
            </w:r>
            <w:r w:rsidRPr="00EB47ED">
              <w:rPr>
                <w:rFonts w:ascii="Arial" w:eastAsia="Times New Roman" w:hAnsi="Arial" w:cs="Arial"/>
                <w:lang w:eastAsia="sr-Latn-RS"/>
              </w:rPr>
              <w:t xml:space="preserve">/h)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573"/>
        <w:gridCol w:w="4215"/>
        <w:gridCol w:w="1374"/>
      </w:tblGrid>
      <w:tr w:rsidR="00EB47ED" w:rsidRPr="00EB47ED" w:rsidTr="00EB47ED">
        <w:trPr>
          <w:tblCellSpacing w:w="0" w:type="dxa"/>
        </w:trPr>
        <w:tc>
          <w:tcPr>
            <w:tcW w:w="19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Režim rada izvora </w:t>
            </w:r>
          </w:p>
        </w:tc>
        <w:tc>
          <w:tcPr>
            <w:tcW w:w="23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Kontinualan </w:t>
            </w:r>
          </w:p>
        </w:tc>
        <w:tc>
          <w:tcPr>
            <w:tcW w:w="75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Diskontinualan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751"/>
        <w:gridCol w:w="411"/>
      </w:tblGrid>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PODACI O RADU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Broj radnih dana izvora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Broj radnih sati izvora na dan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Ukupni broj radnih sati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565"/>
        <w:gridCol w:w="1924"/>
        <w:gridCol w:w="4673"/>
      </w:tblGrid>
      <w:tr w:rsidR="00EB47ED" w:rsidRPr="00EB47ED" w:rsidTr="00EB47ED">
        <w:trPr>
          <w:tblCellSpacing w:w="0" w:type="dxa"/>
        </w:trPr>
        <w:tc>
          <w:tcPr>
            <w:tcW w:w="14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Raspodela godišnjih emisija po sezonama (%) </w:t>
            </w:r>
          </w:p>
        </w:tc>
        <w:tc>
          <w:tcPr>
            <w:tcW w:w="10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Zima (Dec, Jan, Feb) </w:t>
            </w:r>
          </w:p>
        </w:tc>
        <w:tc>
          <w:tcPr>
            <w:tcW w:w="2550" w:type="pct"/>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Proleće (Mar, Apr, Maj)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Leto (Jun, Jul, Avg)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Jesen (Sep, Okt, Nov)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07"/>
        <w:gridCol w:w="1008"/>
        <w:gridCol w:w="1374"/>
        <w:gridCol w:w="1649"/>
        <w:gridCol w:w="1558"/>
        <w:gridCol w:w="1466"/>
      </w:tblGrid>
      <w:tr w:rsidR="00EB47ED" w:rsidRPr="00EB47ED" w:rsidTr="00EB47ED">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PODACI O KORIŠĆENOM GORIVU</w:t>
            </w:r>
            <w:r w:rsidRPr="00EB47ED">
              <w:rPr>
                <w:rFonts w:ascii="Arial" w:eastAsia="Times New Roman" w:hAnsi="Arial" w:cs="Arial"/>
                <w:b/>
                <w:bCs/>
                <w:sz w:val="15"/>
                <w:szCs w:val="15"/>
                <w:vertAlign w:val="superscript"/>
                <w:lang w:eastAsia="sr-Latn-RS"/>
              </w:rPr>
              <w:t>2</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Gorivo </w:t>
            </w:r>
          </w:p>
        </w:tc>
        <w:tc>
          <w:tcPr>
            <w:tcW w:w="75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Gorivo 1 </w:t>
            </w:r>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Gorivo 2 </w:t>
            </w:r>
          </w:p>
        </w:tc>
        <w:tc>
          <w:tcPr>
            <w:tcW w:w="85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Gorivo 3 </w:t>
            </w:r>
          </w:p>
        </w:tc>
        <w:tc>
          <w:tcPr>
            <w:tcW w:w="8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Gorivo 4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Naziv goriva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Ukupna godišnja potrošnja (t)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Donja toplotna moć goriva (kJ/kg)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Sastav goriva (mas. </w:t>
            </w:r>
            <w:r w:rsidRPr="00EB47ED">
              <w:rPr>
                <w:rFonts w:ascii="Arial" w:eastAsia="Times New Roman" w:hAnsi="Arial" w:cs="Arial"/>
                <w:lang w:eastAsia="sr-Latn-RS"/>
              </w:rPr>
              <w:lastRenderedPageBreak/>
              <w:t xml:space="preserve">%) </w:t>
            </w:r>
          </w:p>
        </w:tc>
        <w:tc>
          <w:tcPr>
            <w:tcW w:w="55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lastRenderedPageBreak/>
              <w:t xml:space="preser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Cl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NAPOMENA: Za svaki izvor emisija zagađujućih materija u vazduh, popunjava se poseban obrazac </w:t>
      </w:r>
    </w:p>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___________</w:t>
      </w:r>
      <w:r w:rsidRPr="00EB47ED">
        <w:rPr>
          <w:rFonts w:ascii="Arial" w:eastAsia="Times New Roman" w:hAnsi="Arial" w:cs="Arial"/>
          <w:b/>
          <w:bCs/>
          <w:lang w:eastAsia="sr-Latn-RS"/>
        </w:rPr>
        <w:br/>
      </w:r>
      <w:r w:rsidRPr="00EB47ED">
        <w:rPr>
          <w:rFonts w:ascii="Arial" w:eastAsia="Times New Roman" w:hAnsi="Arial" w:cs="Arial"/>
          <w:b/>
          <w:bCs/>
          <w:sz w:val="15"/>
          <w:szCs w:val="15"/>
          <w:vertAlign w:val="superscript"/>
          <w:lang w:eastAsia="sr-Latn-RS"/>
        </w:rPr>
        <w:t xml:space="preserve">2 </w:t>
      </w:r>
      <w:r w:rsidRPr="00EB47ED">
        <w:rPr>
          <w:rFonts w:ascii="Arial" w:eastAsia="Times New Roman" w:hAnsi="Arial" w:cs="Arial"/>
          <w:b/>
          <w:bCs/>
          <w:lang w:eastAsia="sr-Latn-RS"/>
        </w:rPr>
        <w:t xml:space="preserve">Samo za energetske izvore </w:t>
      </w:r>
    </w:p>
    <w:p w:rsidR="00EB47ED" w:rsidRPr="00EB47ED" w:rsidRDefault="00EB47ED" w:rsidP="00EB47ED">
      <w:pPr>
        <w:spacing w:before="100" w:beforeAutospacing="1" w:after="100" w:afterAutospacing="1" w:line="240" w:lineRule="auto"/>
        <w:jc w:val="center"/>
        <w:rPr>
          <w:rFonts w:ascii="Arial" w:eastAsia="Times New Roman" w:hAnsi="Arial" w:cs="Arial"/>
          <w:b/>
          <w:bCs/>
          <w:lang w:eastAsia="sr-Latn-RS"/>
        </w:rPr>
      </w:pPr>
      <w:r w:rsidRPr="00EB47ED">
        <w:rPr>
          <w:rFonts w:ascii="Arial" w:eastAsia="Times New Roman" w:hAnsi="Arial" w:cs="Arial"/>
          <w:b/>
          <w:bCs/>
          <w:lang w:eastAsia="sr-Latn-RS"/>
        </w:rPr>
        <w:t xml:space="preserve">GODIŠNJI BILANS EMISIJA ZAGAĐUJUĆIH MATERIJA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39"/>
        <w:gridCol w:w="1218"/>
        <w:gridCol w:w="1201"/>
        <w:gridCol w:w="921"/>
        <w:gridCol w:w="380"/>
        <w:gridCol w:w="770"/>
        <w:gridCol w:w="1183"/>
        <w:gridCol w:w="1201"/>
        <w:gridCol w:w="1149"/>
      </w:tblGrid>
      <w:tr w:rsidR="00EB47ED" w:rsidRPr="00EB47ED" w:rsidTr="00EB47ED">
        <w:trPr>
          <w:tblCellSpacing w:w="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b/>
                <w:bCs/>
                <w:lang w:eastAsia="sr-Latn-RS"/>
              </w:rPr>
            </w:pPr>
            <w:r w:rsidRPr="00EB47ED">
              <w:rPr>
                <w:rFonts w:ascii="Arial" w:eastAsia="Times New Roman" w:hAnsi="Arial" w:cs="Arial"/>
                <w:b/>
                <w:bCs/>
                <w:lang w:eastAsia="sr-Latn-RS"/>
              </w:rPr>
              <w:t xml:space="preserve">PODACI O BILANSU I NAČINU ODREĐIVANJA EMISIJA ZAGAĐUJUĆIH MATERIJA </w:t>
            </w:r>
          </w:p>
        </w:tc>
      </w:tr>
      <w:tr w:rsidR="00EB47ED" w:rsidRPr="00EB47ED" w:rsidTr="00EB47E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Naziv zagađujuće materije </w:t>
            </w:r>
          </w:p>
        </w:tc>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Koncentracija zagađujućih materija u otpadnom gasu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Emitovane količine u toku normalnog rada postrojenja</w:t>
            </w:r>
            <w:r w:rsidRPr="00EB47ED">
              <w:rPr>
                <w:rFonts w:ascii="Arial" w:eastAsia="Times New Roman" w:hAnsi="Arial" w:cs="Arial"/>
                <w:sz w:val="15"/>
                <w:szCs w:val="15"/>
                <w:vertAlign w:val="superscript"/>
                <w:lang w:eastAsia="sr-Latn-RS"/>
              </w:rPr>
              <w:t>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Emitovane količine u akcidentnim situacijama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Način određivanja</w:t>
            </w:r>
            <w:r w:rsidRPr="00EB47ED">
              <w:rPr>
                <w:rFonts w:ascii="Arial" w:eastAsia="Times New Roman" w:hAnsi="Arial" w:cs="Arial"/>
                <w:b/>
                <w:bCs/>
                <w:sz w:val="15"/>
                <w:szCs w:val="15"/>
                <w:vertAlign w:val="superscript"/>
                <w:lang w:eastAsia="sr-Latn-RS"/>
              </w:rP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Metoda određivanja </w:t>
            </w: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Srednja godišnja izmerena vrednost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Način određivanja</w:t>
            </w:r>
            <w:r w:rsidRPr="00EB47ED">
              <w:rPr>
                <w:rFonts w:ascii="Arial" w:eastAsia="Times New Roman" w:hAnsi="Arial" w:cs="Arial"/>
                <w:b/>
                <w:bCs/>
                <w:sz w:val="15"/>
                <w:szCs w:val="15"/>
                <w:vertAlign w:val="superscript"/>
                <w:lang w:eastAsia="sr-Latn-RS"/>
              </w:rP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Granična vrednost emisije iz Priloga 1.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 xml:space="preserve">g/h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kg/god</w:t>
            </w:r>
            <w:r w:rsidRPr="00EB47ED">
              <w:rPr>
                <w:rFonts w:ascii="Arial" w:eastAsia="Times New Roman" w:hAnsi="Arial" w:cs="Arial"/>
                <w:b/>
                <w:bCs/>
                <w:sz w:val="15"/>
                <w:szCs w:val="15"/>
                <w:vertAlign w:val="superscript"/>
                <w:lang w:eastAsia="sr-Latn-RS"/>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jc w:val="center"/>
              <w:rPr>
                <w:rFonts w:ascii="Arial" w:eastAsia="Times New Roman" w:hAnsi="Arial" w:cs="Arial"/>
                <w:lang w:eastAsia="sr-Latn-RS"/>
              </w:rPr>
            </w:pPr>
            <w:r w:rsidRPr="00EB47ED">
              <w:rPr>
                <w:rFonts w:ascii="Arial" w:eastAsia="Times New Roman" w:hAnsi="Arial" w:cs="Arial"/>
                <w:lang w:eastAsia="sr-Latn-RS"/>
              </w:rPr>
              <w:t>kg/god</w:t>
            </w:r>
            <w:r w:rsidRPr="00EB47ED">
              <w:rPr>
                <w:rFonts w:ascii="Arial" w:eastAsia="Times New Roman" w:hAnsi="Arial" w:cs="Arial"/>
                <w:sz w:val="15"/>
                <w:szCs w:val="15"/>
                <w:vertAlign w:val="superscript"/>
                <w:lang w:eastAsia="sr-Latn-RS"/>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mg/normalni m</w:t>
            </w:r>
            <w:r w:rsidRPr="00EB47ED">
              <w:rPr>
                <w:rFonts w:ascii="Arial" w:eastAsia="Times New Roman" w:hAnsi="Arial" w:cs="Arial"/>
                <w:sz w:val="15"/>
                <w:szCs w:val="15"/>
                <w:vertAlign w:val="superscript"/>
                <w:lang w:eastAsia="sr-Latn-RS"/>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after="0" w:line="240" w:lineRule="auto"/>
              <w:rPr>
                <w:rFonts w:ascii="Arial" w:eastAsia="Times New Roman" w:hAnsi="Arial" w:cs="Arial"/>
                <w:lang w:eastAsia="sr-Latn-RS"/>
              </w:rPr>
            </w:pP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____________</w:t>
      </w:r>
      <w:r w:rsidRPr="00EB47ED">
        <w:rPr>
          <w:rFonts w:ascii="Arial" w:eastAsia="Times New Roman" w:hAnsi="Arial" w:cs="Arial"/>
          <w:lang w:eastAsia="sr-Latn-RS"/>
        </w:rPr>
        <w:br/>
      </w:r>
      <w:r w:rsidRPr="00EB47ED">
        <w:rPr>
          <w:rFonts w:ascii="Arial" w:eastAsia="Times New Roman" w:hAnsi="Arial" w:cs="Arial"/>
          <w:b/>
          <w:bCs/>
          <w:sz w:val="15"/>
          <w:szCs w:val="15"/>
          <w:vertAlign w:val="superscript"/>
          <w:lang w:eastAsia="sr-Latn-RS"/>
        </w:rPr>
        <w:t xml:space="preserve">1 </w:t>
      </w:r>
      <w:r w:rsidRPr="00EB47ED">
        <w:rPr>
          <w:rFonts w:ascii="Arial" w:eastAsia="Times New Roman" w:hAnsi="Arial" w:cs="Arial"/>
          <w:i/>
          <w:iCs/>
          <w:lang w:eastAsia="sr-Latn-RS"/>
        </w:rPr>
        <w:t>Emitovane količine zagađujućih materija dobijaju se množenjem srednje godišnje izmerene vrednosti masene koncentracije zagađujuće materije u otpadnom gasu sa srednjim godišnjim izlaznim protokom i ukupnim brojem radnih časova godišnje (mg/god). Dobijenu vrednost pomnožiti sa 10</w:t>
      </w:r>
      <w:r w:rsidRPr="00EB47ED">
        <w:rPr>
          <w:rFonts w:ascii="Arial" w:eastAsia="Times New Roman" w:hAnsi="Arial" w:cs="Arial"/>
          <w:sz w:val="15"/>
          <w:szCs w:val="15"/>
          <w:vertAlign w:val="superscript"/>
          <w:lang w:eastAsia="sr-Latn-RS"/>
        </w:rPr>
        <w:t>-6</w:t>
      </w:r>
      <w:r w:rsidRPr="00EB47ED">
        <w:rPr>
          <w:rFonts w:ascii="Arial" w:eastAsia="Times New Roman" w:hAnsi="Arial" w:cs="Arial"/>
          <w:i/>
          <w:iCs/>
          <w:lang w:eastAsia="sr-Latn-RS"/>
        </w:rPr>
        <w:t xml:space="preserve"> radi dobijanja u jedinici kg/god.</w:t>
      </w:r>
      <w:r w:rsidRPr="00EB47ED">
        <w:rPr>
          <w:rFonts w:ascii="Arial" w:eastAsia="Times New Roman" w:hAnsi="Arial" w:cs="Arial"/>
          <w:lang w:eastAsia="sr-Latn-RS"/>
        </w:rPr>
        <w:br/>
      </w:r>
      <w:r w:rsidRPr="00EB47ED">
        <w:rPr>
          <w:rFonts w:ascii="Arial" w:eastAsia="Times New Roman" w:hAnsi="Arial" w:cs="Arial"/>
          <w:b/>
          <w:bCs/>
          <w:sz w:val="15"/>
          <w:szCs w:val="15"/>
          <w:vertAlign w:val="superscript"/>
          <w:lang w:eastAsia="sr-Latn-RS"/>
        </w:rPr>
        <w:t>2</w:t>
      </w:r>
      <w:r w:rsidRPr="00EB47ED">
        <w:rPr>
          <w:rFonts w:ascii="Arial" w:eastAsia="Times New Roman" w:hAnsi="Arial" w:cs="Arial"/>
          <w:i/>
          <w:iCs/>
          <w:lang w:eastAsia="sr-Latn-RS"/>
        </w:rPr>
        <w:t xml:space="preserve"> Vrednosti se zaokružuju na jednu decimalu. Decimala se razdvaja tačkom.</w:t>
      </w:r>
      <w:r w:rsidRPr="00EB47ED">
        <w:rPr>
          <w:rFonts w:ascii="Arial" w:eastAsia="Times New Roman" w:hAnsi="Arial" w:cs="Arial"/>
          <w:i/>
          <w:iCs/>
          <w:lang w:eastAsia="sr-Latn-RS"/>
        </w:rPr>
        <w:br/>
      </w:r>
      <w:r w:rsidRPr="00EB47ED">
        <w:rPr>
          <w:rFonts w:ascii="Arial" w:eastAsia="Times New Roman" w:hAnsi="Arial" w:cs="Arial"/>
          <w:b/>
          <w:bCs/>
          <w:sz w:val="15"/>
          <w:szCs w:val="15"/>
          <w:vertAlign w:val="superscript"/>
          <w:lang w:eastAsia="sr-Latn-RS"/>
        </w:rPr>
        <w:t>3</w:t>
      </w:r>
      <w:r w:rsidRPr="00EB47ED">
        <w:rPr>
          <w:rFonts w:ascii="Arial" w:eastAsia="Times New Roman" w:hAnsi="Arial" w:cs="Arial"/>
          <w:i/>
          <w:iCs/>
          <w:lang w:eastAsia="sr-Latn-RS"/>
        </w:rPr>
        <w:t xml:space="preserve"> Način određivanja (1. - Merenje (kontinualno), 2. - Proračun na osnovu pojedinačnih merenja, 3. - Procena) - Uneti jedan od brojeva od 1 do 3 a u slučaju nevažećih dana kontinualnog merenja uneti: broj dana važećih kontinualnih merenja i broj dana nevažećih kontinualnih merenja, broj časova rada postrojenja pri važećim danima kontinualnog merenja, broj časova rada postrojenja u nevažećim danima kontinualnog merenja.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9162"/>
      </w:tblGrid>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EB47ED" w:rsidRPr="00EB47ED" w:rsidRDefault="00EB47ED" w:rsidP="00EB47ED">
            <w:pPr>
              <w:spacing w:before="100" w:beforeAutospacing="1" w:after="100" w:afterAutospacing="1" w:line="240" w:lineRule="auto"/>
              <w:rPr>
                <w:rFonts w:ascii="Arial" w:eastAsia="Times New Roman" w:hAnsi="Arial" w:cs="Arial"/>
                <w:b/>
                <w:bCs/>
                <w:lang w:eastAsia="sr-Latn-RS"/>
              </w:rPr>
            </w:pPr>
            <w:r w:rsidRPr="00EB47ED">
              <w:rPr>
                <w:rFonts w:ascii="Arial" w:eastAsia="Times New Roman" w:hAnsi="Arial" w:cs="Arial"/>
                <w:b/>
                <w:bCs/>
                <w:lang w:eastAsia="sr-Latn-RS"/>
              </w:rPr>
              <w:t xml:space="preserve">NAPOMENE: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lastRenderedPageBreak/>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r w:rsidR="00EB47ED" w:rsidRPr="00EB47ED" w:rsidTr="00EB47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47ED" w:rsidRPr="00EB47ED" w:rsidRDefault="00EB47ED" w:rsidP="00EB47ED">
            <w:pPr>
              <w:spacing w:before="100" w:beforeAutospacing="1" w:after="100" w:afterAutospacing="1" w:line="240" w:lineRule="auto"/>
              <w:rPr>
                <w:rFonts w:ascii="Arial" w:eastAsia="Times New Roman" w:hAnsi="Arial" w:cs="Arial"/>
                <w:lang w:eastAsia="sr-Latn-RS"/>
              </w:rPr>
            </w:pPr>
            <w:r w:rsidRPr="00EB47ED">
              <w:rPr>
                <w:rFonts w:ascii="Arial" w:eastAsia="Times New Roman" w:hAnsi="Arial" w:cs="Arial"/>
                <w:lang w:eastAsia="sr-Latn-RS"/>
              </w:rPr>
              <w:t xml:space="preserve">  </w:t>
            </w:r>
          </w:p>
        </w:tc>
      </w:tr>
    </w:tbl>
    <w:p w:rsidR="00605CE0" w:rsidRDefault="00EB47ED"/>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ED"/>
    <w:rsid w:val="00373405"/>
    <w:rsid w:val="00D63236"/>
    <w:rsid w:val="00EB47E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B47ED"/>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B47ED"/>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EB47ED"/>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EB47ED"/>
    <w:rPr>
      <w:rFonts w:ascii="Arial" w:hAnsi="Arial" w:cs="Arial" w:hint="default"/>
      <w:strike w:val="0"/>
      <w:dstrike w:val="0"/>
      <w:color w:val="800080"/>
      <w:u w:val="single"/>
      <w:effect w:val="none"/>
    </w:rPr>
  </w:style>
  <w:style w:type="paragraph" w:customStyle="1" w:styleId="singl">
    <w:name w:val="singl"/>
    <w:basedOn w:val="Normal"/>
    <w:rsid w:val="00EB47ED"/>
    <w:pPr>
      <w:spacing w:after="24" w:line="240" w:lineRule="auto"/>
    </w:pPr>
    <w:rPr>
      <w:rFonts w:ascii="Arial" w:eastAsia="Times New Roman" w:hAnsi="Arial" w:cs="Arial"/>
      <w:lang w:eastAsia="sr-Latn-RS"/>
    </w:rPr>
  </w:style>
  <w:style w:type="paragraph" w:customStyle="1" w:styleId="tabelamolovani">
    <w:name w:val="tabelamolovani"/>
    <w:basedOn w:val="Normal"/>
    <w:rsid w:val="00EB47ED"/>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EB47ED"/>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EB47ED"/>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EB47ED"/>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EB47ED"/>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EB47ED"/>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EB47ED"/>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B47ED"/>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EB47ED"/>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EB47ED"/>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B47ED"/>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EB47ED"/>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EB47ED"/>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EB47ED"/>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EB47ED"/>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EB47ED"/>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EB47ED"/>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EB47ED"/>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EB47ED"/>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EB47ED"/>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EB47ED"/>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EB47ED"/>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EB47ED"/>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EB47ED"/>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EB47E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EB47ED"/>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EB47ED"/>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EB47ED"/>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EB47ED"/>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EB47ED"/>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EB47ED"/>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EB47ED"/>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EB47ED"/>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EB47E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EB47ED"/>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EB47ED"/>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EB47ED"/>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EB47ED"/>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EB47ED"/>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EB47ED"/>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EB47ED"/>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EB47E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EB47ED"/>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EB47ED"/>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EB47ED"/>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EB47E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EB47ED"/>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EB47ED"/>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EB47ED"/>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EB47ED"/>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EB47ED"/>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EB47ED"/>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EB47ED"/>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EB47ED"/>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EB47ED"/>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EB47ED"/>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EB47ED"/>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EB47ED"/>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EB47ED"/>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EB47ED"/>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EB47ED"/>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EB47ED"/>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EB47ED"/>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EB47ED"/>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EB47ED"/>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EB47ED"/>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EB47ED"/>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EB47ED"/>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EB47ED"/>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EB47ED"/>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EB47ED"/>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EB47ED"/>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EB47ED"/>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EB47ED"/>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EB47ED"/>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EB47ED"/>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B47ED"/>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EB47ED"/>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EB47ED"/>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EB47ED"/>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EB47ED"/>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EB47ED"/>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EB47ED"/>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EB47ED"/>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EB47ED"/>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EB47ED"/>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EB47ED"/>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EB47ED"/>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EB47ED"/>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EB47ED"/>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EB47ED"/>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EB47ED"/>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EB47ED"/>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EB47ED"/>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EB47ED"/>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EB47ED"/>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EB47ED"/>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EB47ED"/>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EB47ED"/>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EB47ED"/>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EB47ED"/>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EB47ED"/>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EB47ED"/>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EB47ED"/>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EB47ED"/>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EB47ED"/>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EB47ED"/>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EB47ED"/>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EB47ED"/>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EB47ED"/>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EB47ED"/>
    <w:pPr>
      <w:spacing w:before="100" w:beforeAutospacing="1" w:after="100" w:afterAutospacing="1" w:line="240" w:lineRule="auto"/>
      <w:ind w:firstLine="1247"/>
    </w:pPr>
    <w:rPr>
      <w:rFonts w:ascii="Arial" w:eastAsia="Times New Roman" w:hAnsi="Arial" w:cs="Arial"/>
      <w:sz w:val="14"/>
      <w:szCs w:val="14"/>
      <w:lang w:eastAsia="sr-Latn-RS"/>
    </w:rPr>
  </w:style>
  <w:style w:type="paragraph" w:customStyle="1" w:styleId="style1">
    <w:name w:val="style1"/>
    <w:basedOn w:val="Normal"/>
    <w:rsid w:val="00EB47ED"/>
    <w:pPr>
      <w:spacing w:before="100" w:beforeAutospacing="1" w:after="100" w:afterAutospacing="1" w:line="240" w:lineRule="auto"/>
    </w:pPr>
    <w:rPr>
      <w:rFonts w:ascii="Times New Roman" w:eastAsia="Times New Roman" w:hAnsi="Times New Roman" w:cs="Times New Roman"/>
      <w:b/>
      <w:bCs/>
      <w:color w:val="FFFFFF"/>
      <w:sz w:val="24"/>
      <w:szCs w:val="24"/>
      <w:lang w:eastAsia="sr-Latn-RS"/>
    </w:rPr>
  </w:style>
  <w:style w:type="character" w:customStyle="1" w:styleId="stepenchar">
    <w:name w:val="stepenchar"/>
    <w:basedOn w:val="DefaultParagraphFont"/>
    <w:rsid w:val="00EB47ED"/>
    <w:rPr>
      <w:vertAlign w:val="superscript"/>
    </w:rPr>
  </w:style>
  <w:style w:type="character" w:customStyle="1" w:styleId="indekschar">
    <w:name w:val="indekschar"/>
    <w:basedOn w:val="DefaultParagraphFont"/>
    <w:rsid w:val="00EB47ED"/>
    <w:rPr>
      <w:vertAlign w:val="subscript"/>
    </w:rPr>
  </w:style>
  <w:style w:type="character" w:customStyle="1" w:styleId="stepen1">
    <w:name w:val="stepen1"/>
    <w:basedOn w:val="DefaultParagraphFont"/>
    <w:rsid w:val="00EB47ED"/>
    <w:rPr>
      <w:vertAlign w:val="superscript"/>
    </w:rPr>
  </w:style>
  <w:style w:type="character" w:customStyle="1" w:styleId="stepen2">
    <w:name w:val="stepen2"/>
    <w:basedOn w:val="DefaultParagraphFont"/>
    <w:rsid w:val="00EB47ED"/>
    <w:rPr>
      <w:sz w:val="15"/>
      <w:szCs w:val="15"/>
      <w:vertAlign w:val="superscript"/>
    </w:rPr>
  </w:style>
  <w:style w:type="character" w:customStyle="1" w:styleId="indeks1">
    <w:name w:val="indeks1"/>
    <w:basedOn w:val="DefaultParagraphFont"/>
    <w:rsid w:val="00EB47ED"/>
    <w:rPr>
      <w:sz w:val="15"/>
      <w:szCs w:val="15"/>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B47ED"/>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B47ED"/>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EB47ED"/>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EB47ED"/>
    <w:rPr>
      <w:rFonts w:ascii="Arial" w:hAnsi="Arial" w:cs="Arial" w:hint="default"/>
      <w:strike w:val="0"/>
      <w:dstrike w:val="0"/>
      <w:color w:val="800080"/>
      <w:u w:val="single"/>
      <w:effect w:val="none"/>
    </w:rPr>
  </w:style>
  <w:style w:type="paragraph" w:customStyle="1" w:styleId="singl">
    <w:name w:val="singl"/>
    <w:basedOn w:val="Normal"/>
    <w:rsid w:val="00EB47ED"/>
    <w:pPr>
      <w:spacing w:after="24" w:line="240" w:lineRule="auto"/>
    </w:pPr>
    <w:rPr>
      <w:rFonts w:ascii="Arial" w:eastAsia="Times New Roman" w:hAnsi="Arial" w:cs="Arial"/>
      <w:lang w:eastAsia="sr-Latn-RS"/>
    </w:rPr>
  </w:style>
  <w:style w:type="paragraph" w:customStyle="1" w:styleId="tabelamolovani">
    <w:name w:val="tabelamolovani"/>
    <w:basedOn w:val="Normal"/>
    <w:rsid w:val="00EB47ED"/>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EB47ED"/>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EB47ED"/>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EB47ED"/>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EB47ED"/>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EB47ED"/>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EB47ED"/>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B47ED"/>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EB47ED"/>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EB47ED"/>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B47ED"/>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EB47ED"/>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EB47ED"/>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EB47ED"/>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EB47ED"/>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EB47ED"/>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EB47ED"/>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EB47ED"/>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EB47ED"/>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EB47ED"/>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EB47ED"/>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EB47ED"/>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EB47ED"/>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EB47ED"/>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EB47E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EB47ED"/>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EB47ED"/>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EB47ED"/>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EB47ED"/>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EB47ED"/>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EB47ED"/>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EB47ED"/>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EB47ED"/>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EB47E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EB47ED"/>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EB47ED"/>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EB47ED"/>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EB47ED"/>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EB47ED"/>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EB47ED"/>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EB47ED"/>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EB47E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EB47ED"/>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EB47ED"/>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EB47ED"/>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EB47E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EB47ED"/>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EB47ED"/>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EB47ED"/>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EB47ED"/>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EB47ED"/>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EB47ED"/>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EB47ED"/>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EB47ED"/>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EB47ED"/>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EB47ED"/>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EB47ED"/>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EB47ED"/>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EB47ED"/>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EB47ED"/>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EB47ED"/>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EB47ED"/>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EB47ED"/>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EB47ED"/>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EB47ED"/>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EB47ED"/>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EB47ED"/>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EB47ED"/>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EB47ED"/>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EB47ED"/>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EB47ED"/>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EB47ED"/>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EB47ED"/>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EB47ED"/>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EB47ED"/>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EB47ED"/>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B47ED"/>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EB47ED"/>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EB47ED"/>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EB47ED"/>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EB47ED"/>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EB47ED"/>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EB47ED"/>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EB47ED"/>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EB47ED"/>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EB47ED"/>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EB47ED"/>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EB47ED"/>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EB47ED"/>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EB47ED"/>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EB47ED"/>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EB47ED"/>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EB47ED"/>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EB47ED"/>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EB47ED"/>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EB47ED"/>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EB47ED"/>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EB47ED"/>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EB47ED"/>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EB47ED"/>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EB47ED"/>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EB47ED"/>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EB47ED"/>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EB47ED"/>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EB47ED"/>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EB47ED"/>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EB47ED"/>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EB47ED"/>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EB47ED"/>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EB47ED"/>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EB47ED"/>
    <w:pPr>
      <w:spacing w:before="100" w:beforeAutospacing="1" w:after="100" w:afterAutospacing="1" w:line="240" w:lineRule="auto"/>
      <w:ind w:firstLine="1247"/>
    </w:pPr>
    <w:rPr>
      <w:rFonts w:ascii="Arial" w:eastAsia="Times New Roman" w:hAnsi="Arial" w:cs="Arial"/>
      <w:sz w:val="14"/>
      <w:szCs w:val="14"/>
      <w:lang w:eastAsia="sr-Latn-RS"/>
    </w:rPr>
  </w:style>
  <w:style w:type="paragraph" w:customStyle="1" w:styleId="style1">
    <w:name w:val="style1"/>
    <w:basedOn w:val="Normal"/>
    <w:rsid w:val="00EB47ED"/>
    <w:pPr>
      <w:spacing w:before="100" w:beforeAutospacing="1" w:after="100" w:afterAutospacing="1" w:line="240" w:lineRule="auto"/>
    </w:pPr>
    <w:rPr>
      <w:rFonts w:ascii="Times New Roman" w:eastAsia="Times New Roman" w:hAnsi="Times New Roman" w:cs="Times New Roman"/>
      <w:b/>
      <w:bCs/>
      <w:color w:val="FFFFFF"/>
      <w:sz w:val="24"/>
      <w:szCs w:val="24"/>
      <w:lang w:eastAsia="sr-Latn-RS"/>
    </w:rPr>
  </w:style>
  <w:style w:type="character" w:customStyle="1" w:styleId="stepenchar">
    <w:name w:val="stepenchar"/>
    <w:basedOn w:val="DefaultParagraphFont"/>
    <w:rsid w:val="00EB47ED"/>
    <w:rPr>
      <w:vertAlign w:val="superscript"/>
    </w:rPr>
  </w:style>
  <w:style w:type="character" w:customStyle="1" w:styleId="indekschar">
    <w:name w:val="indekschar"/>
    <w:basedOn w:val="DefaultParagraphFont"/>
    <w:rsid w:val="00EB47ED"/>
    <w:rPr>
      <w:vertAlign w:val="subscript"/>
    </w:rPr>
  </w:style>
  <w:style w:type="character" w:customStyle="1" w:styleId="stepen1">
    <w:name w:val="stepen1"/>
    <w:basedOn w:val="DefaultParagraphFont"/>
    <w:rsid w:val="00EB47ED"/>
    <w:rPr>
      <w:vertAlign w:val="superscript"/>
    </w:rPr>
  </w:style>
  <w:style w:type="character" w:customStyle="1" w:styleId="stepen2">
    <w:name w:val="stepen2"/>
    <w:basedOn w:val="DefaultParagraphFont"/>
    <w:rsid w:val="00EB47ED"/>
    <w:rPr>
      <w:sz w:val="15"/>
      <w:szCs w:val="15"/>
      <w:vertAlign w:val="superscript"/>
    </w:rPr>
  </w:style>
  <w:style w:type="character" w:customStyle="1" w:styleId="indeks1">
    <w:name w:val="indeks1"/>
    <w:basedOn w:val="DefaultParagraphFont"/>
    <w:rsid w:val="00EB47ED"/>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7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14411</Words>
  <Characters>82147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2016-01-05T07:28:00Z</dcterms:created>
  <dcterms:modified xsi:type="dcterms:W3CDTF">2016-01-05T07:29:00Z</dcterms:modified>
</cp:coreProperties>
</file>