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322FC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УСЛУГА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ИСПИТИВАЊЕ ЕФИКАСНОСТИ ПРЕПАРАТА ЗА СУЗБИЈАЊЕ КОМАРАЦА  </w:t>
      </w:r>
    </w:p>
    <w:p w:rsidR="00D40699" w:rsidRPr="00A51479" w:rsidRDefault="00A5147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586C6E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16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B43630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bookmarkStart w:id="0" w:name="_GoBack"/>
      <w:bookmarkEnd w:id="0"/>
      <w:r w:rsidRPr="00F322FC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F322FC" w:rsidRDefault="00B43630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D40699" w:rsidRPr="00F322FC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D70298" w:rsidRPr="00F322FC" w:rsidRDefault="00D40699" w:rsidP="00D70298">
      <w:pPr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lang w:val="en-GB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испитивање ефикасности препарата за сузбијање комараца</w:t>
      </w:r>
      <w:r w:rsidR="00D70298" w:rsidRPr="00F322FC">
        <w:rPr>
          <w:rFonts w:asciiTheme="minorHAnsi" w:hAnsiTheme="minorHAnsi"/>
          <w:b/>
          <w:sz w:val="20"/>
          <w:szCs w:val="20"/>
          <w:lang w:val="en-GB" w:eastAsia="ar-SA"/>
        </w:rPr>
        <w:t>,</w:t>
      </w:r>
    </w:p>
    <w:p w:rsidR="00D40699" w:rsidRPr="00AE5871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AE5871">
        <w:rPr>
          <w:rFonts w:asciiTheme="minorHAnsi" w:hAnsiTheme="minorHAnsi"/>
          <w:b/>
          <w:sz w:val="20"/>
          <w:szCs w:val="20"/>
        </w:rPr>
        <w:t xml:space="preserve"> </w:t>
      </w:r>
      <w:r w:rsidRPr="00AE5871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AE5871">
        <w:rPr>
          <w:rFonts w:asciiTheme="minorHAnsi" w:hAnsiTheme="minorHAnsi"/>
          <w:b/>
          <w:sz w:val="20"/>
          <w:szCs w:val="20"/>
        </w:rPr>
        <w:t xml:space="preserve">0000 – </w:t>
      </w:r>
      <w:r w:rsidRPr="00AE5871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AE5871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AE5871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AE5871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586C6E" w:rsidRPr="00AE5871">
        <w:rPr>
          <w:rFonts w:asciiTheme="minorHAnsi" w:hAnsiTheme="minorHAnsi"/>
          <w:sz w:val="20"/>
          <w:szCs w:val="20"/>
          <w:lang w:val="sr-Cyrl-RS" w:eastAsia="ar-SA"/>
        </w:rPr>
        <w:t>41</w:t>
      </w:r>
      <w:r w:rsidR="00AE5871" w:rsidRPr="00AE5871">
        <w:rPr>
          <w:rFonts w:asciiTheme="minorHAnsi" w:hAnsiTheme="minorHAnsi"/>
          <w:sz w:val="20"/>
          <w:szCs w:val="20"/>
          <w:lang w:val="sr-Latn-RS" w:eastAsia="ar-SA"/>
        </w:rPr>
        <w:t>2</w:t>
      </w:r>
      <w:r w:rsidR="00D70298" w:rsidRPr="00AE5871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E5871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AE5871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AE5871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AE5871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AE5871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AE5871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AE5871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E5871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AE5871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E5871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586C6E" w:rsidRPr="00AE5871">
        <w:rPr>
          <w:rFonts w:asciiTheme="minorHAnsi" w:hAnsiTheme="minorHAnsi"/>
          <w:sz w:val="20"/>
          <w:szCs w:val="20"/>
          <w:lang w:val="sr-Cyrl-RS" w:eastAsia="ar-SA"/>
        </w:rPr>
        <w:t>41</w:t>
      </w:r>
      <w:r w:rsidR="00AE5871" w:rsidRPr="00AE5871">
        <w:rPr>
          <w:rFonts w:asciiTheme="minorHAnsi" w:hAnsiTheme="minorHAnsi"/>
          <w:sz w:val="20"/>
          <w:szCs w:val="20"/>
          <w:lang w:val="sr-Latn-RS" w:eastAsia="ar-SA"/>
        </w:rPr>
        <w:t>2</w:t>
      </w:r>
      <w:r w:rsidR="00A773AB" w:rsidRPr="00AE5871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E5871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AE5871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E5871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E587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586C6E" w:rsidRPr="00AE5871">
        <w:rPr>
          <w:rFonts w:asciiTheme="minorHAnsi" w:hAnsiTheme="minorHAnsi"/>
          <w:sz w:val="20"/>
          <w:szCs w:val="20"/>
          <w:lang w:val="sr-Cyrl-RS" w:eastAsia="ar-SA"/>
        </w:rPr>
        <w:t>41</w:t>
      </w:r>
      <w:r w:rsidR="00AE5871" w:rsidRPr="00AE5871">
        <w:rPr>
          <w:rFonts w:asciiTheme="minorHAnsi" w:hAnsiTheme="minorHAnsi"/>
          <w:sz w:val="20"/>
          <w:szCs w:val="20"/>
          <w:lang w:val="sr-Latn-RS" w:eastAsia="ar-SA"/>
        </w:rPr>
        <w:t>2</w:t>
      </w:r>
      <w:r w:rsidR="00A773AB" w:rsidRPr="00AE5871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E5871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AE5871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AE587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AE5871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E5871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AE5871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="00586C6E" w:rsidRPr="00AE5871">
        <w:rPr>
          <w:rFonts w:asciiTheme="minorHAnsi" w:hAnsiTheme="minorHAnsi"/>
          <w:sz w:val="20"/>
          <w:szCs w:val="20"/>
          <w:lang w:val="sr-Cyrl-RS" w:eastAsia="ar-SA"/>
        </w:rPr>
        <w:t>41</w:t>
      </w:r>
      <w:r w:rsidR="00AE5871" w:rsidRPr="00AE5871">
        <w:rPr>
          <w:rFonts w:asciiTheme="minorHAnsi" w:hAnsiTheme="minorHAnsi"/>
          <w:sz w:val="20"/>
          <w:szCs w:val="20"/>
          <w:lang w:val="sr-Latn-RS" w:eastAsia="ar-SA"/>
        </w:rPr>
        <w:t>2</w:t>
      </w:r>
      <w:r w:rsidR="00A773AB" w:rsidRPr="00AE5871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E5871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AE5871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E5871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AE587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AE587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586C6E" w:rsidRPr="00AE5871">
        <w:rPr>
          <w:rFonts w:asciiTheme="minorHAnsi" w:hAnsiTheme="minorHAnsi"/>
          <w:sz w:val="20"/>
          <w:szCs w:val="20"/>
          <w:lang w:val="sr-Cyrl-RS" w:eastAsia="ar-SA"/>
        </w:rPr>
        <w:t>41</w:t>
      </w:r>
      <w:r w:rsidR="00AE5871" w:rsidRPr="00AE5871">
        <w:rPr>
          <w:rFonts w:asciiTheme="minorHAnsi" w:hAnsiTheme="minorHAnsi"/>
          <w:sz w:val="20"/>
          <w:szCs w:val="20"/>
          <w:lang w:val="sr-Latn-RS" w:eastAsia="ar-SA"/>
        </w:rPr>
        <w:t>2</w:t>
      </w:r>
      <w:r w:rsidR="00A773AB" w:rsidRPr="00AE5871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A773AB" w:rsidRPr="00AE587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E5871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AE5871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E5871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 w:rsidRPr="00AE5871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AE5871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AE5871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AE5871">
        <w:rPr>
          <w:rFonts w:asciiTheme="minorHAnsi" w:hAnsiTheme="minorHAnsi"/>
          <w:sz w:val="20"/>
          <w:szCs w:val="20"/>
          <w:lang w:val="sr-Cyrl-RS"/>
        </w:rPr>
        <w:t>Понуђач је понуду дао самостално.</w:t>
      </w:r>
    </w:p>
    <w:p w:rsidR="00D40699" w:rsidRPr="00AE5871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D70298" w:rsidRPr="00AE5871">
        <w:rPr>
          <w:rFonts w:asciiTheme="minorHAnsi" w:hAnsiTheme="minorHAnsi"/>
          <w:b/>
          <w:sz w:val="20"/>
          <w:szCs w:val="20"/>
          <w:lang w:val="sr-Cyrl-RS"/>
        </w:rPr>
        <w:t>2</w:t>
      </w:r>
      <w:r w:rsidR="00AE5871" w:rsidRPr="00AE5871">
        <w:rPr>
          <w:rFonts w:asciiTheme="minorHAnsi" w:hAnsiTheme="minorHAnsi"/>
          <w:b/>
          <w:sz w:val="20"/>
          <w:szCs w:val="20"/>
          <w:lang w:val="sr-Latn-RS"/>
        </w:rPr>
        <w:t>6</w:t>
      </w:r>
      <w:r w:rsidR="00586C6E" w:rsidRPr="00AE5871">
        <w:rPr>
          <w:rFonts w:asciiTheme="minorHAnsi" w:hAnsiTheme="minorHAnsi"/>
          <w:b/>
          <w:sz w:val="20"/>
          <w:szCs w:val="20"/>
          <w:lang w:val="sr-Cyrl-RS"/>
        </w:rPr>
        <w:t>.07</w:t>
      </w:r>
      <w:r w:rsidR="00A51479" w:rsidRPr="00AE5871">
        <w:rPr>
          <w:rFonts w:asciiTheme="minorHAnsi" w:hAnsiTheme="minorHAnsi"/>
          <w:b/>
          <w:sz w:val="20"/>
          <w:szCs w:val="20"/>
          <w:lang w:val="sr-Cyrl-RS"/>
        </w:rPr>
        <w:t>.2018</w:t>
      </w:r>
      <w:r w:rsidRPr="00AE5871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E5871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AE5871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0F4BAA">
        <w:rPr>
          <w:rFonts w:asciiTheme="minorHAnsi" w:hAnsiTheme="minorHAnsi"/>
          <w:b/>
          <w:sz w:val="20"/>
          <w:szCs w:val="20"/>
          <w:lang w:val="sr-Latn-RS"/>
        </w:rPr>
        <w:t>02</w:t>
      </w:r>
      <w:r w:rsidR="000F4BAA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0F4BAA">
        <w:rPr>
          <w:rFonts w:asciiTheme="minorHAnsi" w:hAnsiTheme="minorHAnsi"/>
          <w:b/>
          <w:sz w:val="20"/>
          <w:szCs w:val="20"/>
          <w:lang w:val="sr-Latn-RS"/>
        </w:rPr>
        <w:t>08</w:t>
      </w:r>
      <w:r w:rsidR="00A51479" w:rsidRPr="00AE5871">
        <w:rPr>
          <w:rFonts w:asciiTheme="minorHAnsi" w:hAnsiTheme="minorHAnsi"/>
          <w:b/>
          <w:sz w:val="20"/>
          <w:szCs w:val="20"/>
          <w:lang w:val="sr-Cyrl-RS"/>
        </w:rPr>
        <w:t>.2018</w:t>
      </w:r>
      <w:r w:rsidR="00BB1174" w:rsidRPr="00AE5871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AE5871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F322FC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Недељко </w:t>
      </w:r>
      <w:proofErr w:type="spellStart"/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Тица</w:t>
      </w:r>
      <w:proofErr w:type="spellEnd"/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B278D9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0F4BAA"/>
    <w:rsid w:val="001876C2"/>
    <w:rsid w:val="002031AE"/>
    <w:rsid w:val="00252935"/>
    <w:rsid w:val="0053353C"/>
    <w:rsid w:val="00586C6E"/>
    <w:rsid w:val="00694E7A"/>
    <w:rsid w:val="00861A77"/>
    <w:rsid w:val="00A51479"/>
    <w:rsid w:val="00A773AB"/>
    <w:rsid w:val="00AE5871"/>
    <w:rsid w:val="00B278D9"/>
    <w:rsid w:val="00B43630"/>
    <w:rsid w:val="00BB1174"/>
    <w:rsid w:val="00D40699"/>
    <w:rsid w:val="00D70298"/>
    <w:rsid w:val="00DF5C25"/>
    <w:rsid w:val="00F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14</cp:revision>
  <dcterms:created xsi:type="dcterms:W3CDTF">2017-03-13T09:57:00Z</dcterms:created>
  <dcterms:modified xsi:type="dcterms:W3CDTF">2018-08-07T06:39:00Z</dcterms:modified>
</cp:coreProperties>
</file>