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6F4" w:rsidRPr="00ED005B" w:rsidRDefault="008E76F4" w:rsidP="003C6368">
      <w:pPr>
        <w:widowControl/>
        <w:jc w:val="both"/>
        <w:rPr>
          <w:rFonts w:eastAsia="Times New Roman" w:cs="Times New Roman"/>
          <w:b/>
          <w:bCs/>
          <w:noProof/>
          <w:color w:val="FF0000"/>
          <w:sz w:val="20"/>
          <w:szCs w:val="20"/>
          <w:lang w:val="sr-Cyrl-RS"/>
        </w:rPr>
      </w:pPr>
      <w:r w:rsidRPr="00ED005B">
        <w:rPr>
          <w:rFonts w:eastAsia="Calibri" w:cs="Times New Roman"/>
          <w:noProof/>
          <w:color w:val="FF0000"/>
          <w:sz w:val="20"/>
          <w:szCs w:val="20"/>
          <w:lang w:val="en-GB" w:eastAsia="en-GB"/>
        </w:rPr>
        <w:drawing>
          <wp:anchor distT="0" distB="0" distL="114300" distR="114300" simplePos="0" relativeHeight="251659264" behindDoc="1" locked="0" layoutInCell="1" allowOverlap="1" wp14:anchorId="43F1909E" wp14:editId="2545D750">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76F4" w:rsidRPr="0013512B" w:rsidRDefault="008E76F4" w:rsidP="003C6368">
      <w:pPr>
        <w:widowControl/>
        <w:tabs>
          <w:tab w:val="center" w:pos="4703"/>
          <w:tab w:val="right" w:pos="9406"/>
        </w:tabs>
        <w:jc w:val="both"/>
        <w:rPr>
          <w:rFonts w:eastAsia="Calibri" w:cs="Times New Roman"/>
          <w:sz w:val="20"/>
          <w:szCs w:val="20"/>
          <w:lang w:val="ru-RU"/>
        </w:rPr>
      </w:pPr>
      <w:r w:rsidRPr="0013512B">
        <w:rPr>
          <w:rFonts w:eastAsia="Calibri" w:cs="Times New Roman"/>
          <w:sz w:val="20"/>
          <w:szCs w:val="20"/>
          <w:lang w:val="ru-RU"/>
        </w:rPr>
        <w:t>Република Србија</w:t>
      </w:r>
    </w:p>
    <w:p w:rsidR="008E76F4" w:rsidRPr="0013512B" w:rsidRDefault="008E76F4" w:rsidP="003C6368">
      <w:pPr>
        <w:widowControl/>
        <w:jc w:val="both"/>
        <w:rPr>
          <w:rFonts w:eastAsia="Calibri" w:cs="Times New Roman"/>
          <w:sz w:val="20"/>
          <w:szCs w:val="20"/>
          <w:lang w:val="ru-RU"/>
        </w:rPr>
      </w:pPr>
      <w:r w:rsidRPr="0013512B">
        <w:rPr>
          <w:rFonts w:eastAsia="Calibri" w:cs="Times New Roman"/>
          <w:sz w:val="20"/>
          <w:szCs w:val="20"/>
          <w:lang w:val="ru-RU"/>
        </w:rPr>
        <w:t>Аутономна покрајина Војводина</w:t>
      </w:r>
    </w:p>
    <w:p w:rsidR="008E76F4" w:rsidRPr="0013512B" w:rsidRDefault="008E76F4" w:rsidP="003C6368">
      <w:pPr>
        <w:widowControl/>
        <w:jc w:val="both"/>
        <w:rPr>
          <w:rFonts w:eastAsia="Calibri" w:cs="Times New Roman"/>
          <w:b/>
          <w:sz w:val="20"/>
          <w:szCs w:val="20"/>
          <w:lang w:val="ru-RU"/>
        </w:rPr>
      </w:pPr>
      <w:r w:rsidRPr="0013512B">
        <w:rPr>
          <w:rFonts w:eastAsia="Calibri" w:cs="Times New Roman"/>
          <w:b/>
          <w:sz w:val="20"/>
          <w:szCs w:val="20"/>
          <w:lang w:val="ru-RU"/>
        </w:rPr>
        <w:t>Покрајински секретаријат за</w:t>
      </w:r>
    </w:p>
    <w:p w:rsidR="008E76F4" w:rsidRPr="0013512B" w:rsidRDefault="008E76F4" w:rsidP="003C6368">
      <w:pPr>
        <w:widowControl/>
        <w:tabs>
          <w:tab w:val="center" w:pos="4703"/>
          <w:tab w:val="right" w:pos="9406"/>
        </w:tabs>
        <w:jc w:val="both"/>
        <w:rPr>
          <w:rFonts w:eastAsia="Calibri" w:cs="Times New Roman"/>
          <w:b/>
          <w:sz w:val="20"/>
          <w:szCs w:val="20"/>
          <w:lang w:val="ru-RU"/>
        </w:rPr>
      </w:pPr>
      <w:r w:rsidRPr="0013512B">
        <w:rPr>
          <w:rFonts w:eastAsia="Calibri" w:cs="Times New Roman"/>
          <w:b/>
          <w:sz w:val="20"/>
          <w:szCs w:val="20"/>
          <w:lang w:val="ru-RU"/>
        </w:rPr>
        <w:t xml:space="preserve">урбанизам и заштиту животне средине </w:t>
      </w:r>
    </w:p>
    <w:p w:rsidR="008E76F4" w:rsidRPr="0013512B" w:rsidRDefault="008E76F4" w:rsidP="003C6368">
      <w:pPr>
        <w:widowControl/>
        <w:tabs>
          <w:tab w:val="center" w:pos="4703"/>
          <w:tab w:val="right" w:pos="9406"/>
        </w:tabs>
        <w:jc w:val="both"/>
        <w:rPr>
          <w:rFonts w:eastAsia="Calibri" w:cs="Times New Roman"/>
          <w:sz w:val="20"/>
          <w:szCs w:val="20"/>
          <w:lang w:val="ru-RU"/>
        </w:rPr>
      </w:pPr>
    </w:p>
    <w:p w:rsidR="008E76F4" w:rsidRPr="0013512B" w:rsidRDefault="008E76F4" w:rsidP="003C6368">
      <w:pPr>
        <w:widowControl/>
        <w:tabs>
          <w:tab w:val="center" w:pos="4703"/>
          <w:tab w:val="right" w:pos="9406"/>
        </w:tabs>
        <w:jc w:val="both"/>
        <w:rPr>
          <w:rFonts w:eastAsia="Calibri" w:cs="Times New Roman"/>
          <w:sz w:val="20"/>
          <w:szCs w:val="20"/>
          <w:lang w:val="ru-RU"/>
        </w:rPr>
      </w:pPr>
      <w:r w:rsidRPr="0013512B">
        <w:rPr>
          <w:rFonts w:eastAsia="Calibri" w:cs="Times New Roman"/>
          <w:sz w:val="20"/>
          <w:szCs w:val="20"/>
          <w:lang w:val="ru-RU"/>
        </w:rPr>
        <w:t>Булевар Михајла Пупина 16, 21000 Нови Сад</w:t>
      </w:r>
    </w:p>
    <w:p w:rsidR="008E76F4" w:rsidRPr="0013512B" w:rsidRDefault="008E76F4" w:rsidP="003C6368">
      <w:pPr>
        <w:widowControl/>
        <w:tabs>
          <w:tab w:val="left" w:pos="1985"/>
          <w:tab w:val="center" w:pos="4703"/>
          <w:tab w:val="right" w:pos="9406"/>
        </w:tabs>
        <w:jc w:val="both"/>
        <w:rPr>
          <w:rFonts w:eastAsia="Calibri" w:cs="Times New Roman"/>
          <w:sz w:val="20"/>
          <w:szCs w:val="20"/>
          <w:lang w:val="ru-RU"/>
        </w:rPr>
      </w:pPr>
      <w:r w:rsidRPr="0013512B">
        <w:rPr>
          <w:rFonts w:eastAsia="Calibri" w:cs="Times New Roman"/>
          <w:sz w:val="20"/>
          <w:szCs w:val="20"/>
        </w:rPr>
        <w:t xml:space="preserve">       </w:t>
      </w:r>
      <w:r w:rsidRPr="0013512B">
        <w:rPr>
          <w:rFonts w:eastAsia="Calibri" w:cs="Times New Roman"/>
          <w:sz w:val="20"/>
          <w:szCs w:val="20"/>
          <w:lang w:val="sr-Cyrl-RS"/>
        </w:rPr>
        <w:t xml:space="preserve">                           </w:t>
      </w:r>
      <w:r w:rsidR="003C6368" w:rsidRPr="0013512B">
        <w:rPr>
          <w:rFonts w:eastAsia="Calibri" w:cs="Times New Roman"/>
          <w:sz w:val="20"/>
          <w:szCs w:val="20"/>
          <w:lang w:val="sr-Cyrl-RS"/>
        </w:rPr>
        <w:t xml:space="preserve">          </w:t>
      </w:r>
      <w:r w:rsidRPr="0013512B">
        <w:rPr>
          <w:rFonts w:eastAsia="Calibri" w:cs="Times New Roman"/>
          <w:sz w:val="20"/>
          <w:szCs w:val="20"/>
          <w:lang w:val="ru-RU"/>
        </w:rPr>
        <w:t>Т: +381 21 487 4719  Ф: +381 21 456 238</w:t>
      </w:r>
    </w:p>
    <w:p w:rsidR="008E76F4" w:rsidRPr="0013512B" w:rsidRDefault="008E76F4" w:rsidP="003C6368">
      <w:pPr>
        <w:widowControl/>
        <w:jc w:val="both"/>
        <w:rPr>
          <w:rFonts w:eastAsia="Calibri" w:cs="Times New Roman"/>
          <w:sz w:val="20"/>
          <w:szCs w:val="20"/>
        </w:rPr>
      </w:pPr>
      <w:r w:rsidRPr="0013512B">
        <w:rPr>
          <w:rFonts w:eastAsia="Calibri" w:cs="Times New Roman"/>
          <w:sz w:val="20"/>
          <w:szCs w:val="20"/>
        </w:rPr>
        <w:t xml:space="preserve">                         </w:t>
      </w:r>
      <w:r w:rsidRPr="0013512B">
        <w:rPr>
          <w:rFonts w:eastAsia="Calibri" w:cs="Times New Roman"/>
          <w:sz w:val="20"/>
          <w:szCs w:val="20"/>
          <w:lang w:val="sr-Cyrl-RS"/>
        </w:rPr>
        <w:t xml:space="preserve">          </w:t>
      </w:r>
      <w:r w:rsidR="003C6368" w:rsidRPr="0013512B">
        <w:rPr>
          <w:rFonts w:eastAsia="Calibri" w:cs="Times New Roman"/>
          <w:sz w:val="20"/>
          <w:szCs w:val="20"/>
          <w:lang w:val="sr-Cyrl-RS"/>
        </w:rPr>
        <w:t xml:space="preserve">         </w:t>
      </w:r>
      <w:hyperlink r:id="rId7" w:history="1">
        <w:r w:rsidRPr="0013512B">
          <w:rPr>
            <w:rFonts w:eastAsia="Calibri" w:cs="Times New Roman"/>
            <w:sz w:val="20"/>
            <w:szCs w:val="20"/>
            <w:u w:val="single"/>
          </w:rPr>
          <w:t>ekourb@vojvodina.gov.rs|www.ekourb.vojvodina.gov.rs</w:t>
        </w:r>
      </w:hyperlink>
    </w:p>
    <w:p w:rsidR="008E76F4" w:rsidRPr="0013512B" w:rsidRDefault="008E76F4" w:rsidP="003C6368">
      <w:pPr>
        <w:widowControl/>
        <w:tabs>
          <w:tab w:val="center" w:pos="4703"/>
          <w:tab w:val="right" w:pos="9406"/>
        </w:tabs>
        <w:jc w:val="both"/>
        <w:rPr>
          <w:rFonts w:eastAsia="Calibri" w:cs="Times New Roman"/>
          <w:sz w:val="20"/>
          <w:szCs w:val="20"/>
          <w:lang w:val="en-GB"/>
        </w:rPr>
      </w:pPr>
      <w:r w:rsidRPr="0013512B">
        <w:rPr>
          <w:rFonts w:eastAsia="Calibri" w:cs="Times New Roman"/>
          <w:sz w:val="20"/>
          <w:szCs w:val="20"/>
        </w:rPr>
        <w:t xml:space="preserve">                                  </w:t>
      </w:r>
      <w:r w:rsidR="003C6368" w:rsidRPr="0013512B">
        <w:rPr>
          <w:rFonts w:eastAsia="Calibri" w:cs="Times New Roman"/>
          <w:sz w:val="20"/>
          <w:szCs w:val="20"/>
          <w:lang w:val="sr-Cyrl-RS"/>
        </w:rPr>
        <w:t xml:space="preserve">          </w:t>
      </w:r>
      <w:r w:rsidRPr="0013512B">
        <w:rPr>
          <w:rFonts w:eastAsia="Calibri" w:cs="Times New Roman"/>
          <w:sz w:val="20"/>
          <w:szCs w:val="20"/>
        </w:rPr>
        <w:t xml:space="preserve">БРОЈ:  </w:t>
      </w:r>
      <w:r w:rsidRPr="0013512B">
        <w:rPr>
          <w:rFonts w:eastAsia="Calibri" w:cs="Times New Roman"/>
          <w:sz w:val="20"/>
          <w:szCs w:val="20"/>
          <w:lang w:val="sr-Cyrl-RS"/>
        </w:rPr>
        <w:t>140-404-</w:t>
      </w:r>
      <w:r w:rsidRPr="0013512B">
        <w:rPr>
          <w:rFonts w:eastAsia="Calibri" w:cs="Times New Roman"/>
          <w:sz w:val="20"/>
          <w:szCs w:val="20"/>
          <w:lang w:val="en-GB"/>
        </w:rPr>
        <w:t>93</w:t>
      </w:r>
      <w:r w:rsidRPr="0013512B">
        <w:rPr>
          <w:rFonts w:eastAsia="Calibri" w:cs="Times New Roman"/>
          <w:sz w:val="20"/>
          <w:szCs w:val="20"/>
          <w:lang w:val="sr-Cyrl-RS"/>
        </w:rPr>
        <w:t>/2017-02</w:t>
      </w:r>
      <w:r w:rsidRPr="0013512B">
        <w:rPr>
          <w:rFonts w:eastAsia="Calibri" w:cs="Times New Roman"/>
          <w:sz w:val="20"/>
          <w:szCs w:val="20"/>
          <w:lang w:val="en-GB"/>
        </w:rPr>
        <w:t>-</w:t>
      </w:r>
      <w:r w:rsidRPr="0013512B">
        <w:rPr>
          <w:rFonts w:eastAsia="Calibri" w:cs="Times New Roman"/>
          <w:sz w:val="20"/>
          <w:szCs w:val="20"/>
          <w:lang w:val="sr-Cyrl-RS"/>
        </w:rPr>
        <w:t>П</w:t>
      </w:r>
      <w:r w:rsidR="0013512B" w:rsidRPr="0013512B">
        <w:rPr>
          <w:rFonts w:eastAsia="Calibri" w:cs="Times New Roman"/>
          <w:sz w:val="20"/>
          <w:szCs w:val="20"/>
          <w:lang w:val="sr-Cyrl-RS"/>
        </w:rPr>
        <w:t>2</w:t>
      </w:r>
      <w:r w:rsidRPr="0013512B">
        <w:rPr>
          <w:rFonts w:eastAsia="Calibri" w:cs="Times New Roman"/>
          <w:sz w:val="20"/>
          <w:szCs w:val="20"/>
        </w:rPr>
        <w:t xml:space="preserve">       ДАТУМ:</w:t>
      </w:r>
      <w:r w:rsidRPr="0013512B">
        <w:rPr>
          <w:rFonts w:eastAsia="Calibri" w:cs="Times New Roman"/>
          <w:sz w:val="20"/>
          <w:szCs w:val="20"/>
          <w:lang w:val="sr-Cyrl-RS"/>
        </w:rPr>
        <w:t xml:space="preserve"> </w:t>
      </w:r>
      <w:r w:rsidR="00D35E65">
        <w:rPr>
          <w:rFonts w:eastAsia="Calibri" w:cs="Times New Roman"/>
          <w:sz w:val="20"/>
          <w:szCs w:val="20"/>
          <w:lang w:val="sr-Latn-RS"/>
        </w:rPr>
        <w:t>24</w:t>
      </w:r>
      <w:r w:rsidRPr="0013512B">
        <w:rPr>
          <w:rFonts w:eastAsia="Calibri" w:cs="Times New Roman"/>
          <w:sz w:val="20"/>
          <w:szCs w:val="20"/>
        </w:rPr>
        <w:t>.04.2017.</w:t>
      </w:r>
      <w:r w:rsidRPr="0013512B">
        <w:rPr>
          <w:rFonts w:eastAsia="Calibri" w:cs="Times New Roman"/>
          <w:sz w:val="20"/>
          <w:szCs w:val="20"/>
          <w:lang w:val="sr-Cyrl-RS"/>
        </w:rPr>
        <w:t xml:space="preserve"> година</w:t>
      </w:r>
    </w:p>
    <w:p w:rsidR="008E76F4" w:rsidRPr="0013512B" w:rsidRDefault="008E76F4" w:rsidP="003C6368">
      <w:pPr>
        <w:widowControl/>
        <w:tabs>
          <w:tab w:val="center" w:pos="4703"/>
          <w:tab w:val="right" w:pos="9406"/>
        </w:tabs>
        <w:jc w:val="both"/>
        <w:rPr>
          <w:rFonts w:eastAsia="Calibri" w:cs="Times New Roman"/>
          <w:sz w:val="20"/>
          <w:szCs w:val="20"/>
          <w:lang w:val="en-GB"/>
        </w:rPr>
      </w:pPr>
    </w:p>
    <w:p w:rsidR="008E76F4" w:rsidRPr="0013512B" w:rsidRDefault="008E76F4" w:rsidP="003C6368">
      <w:pPr>
        <w:widowControl/>
        <w:tabs>
          <w:tab w:val="center" w:pos="4703"/>
          <w:tab w:val="right" w:pos="9406"/>
        </w:tabs>
        <w:jc w:val="both"/>
        <w:rPr>
          <w:rFonts w:eastAsia="Calibri" w:cs="Times New Roman"/>
          <w:sz w:val="20"/>
          <w:szCs w:val="20"/>
          <w:lang w:val="en-GB"/>
        </w:rPr>
      </w:pPr>
    </w:p>
    <w:p w:rsidR="008E76F4" w:rsidRPr="0013512B" w:rsidRDefault="008E76F4" w:rsidP="003C6368">
      <w:pPr>
        <w:widowControl/>
        <w:jc w:val="center"/>
        <w:rPr>
          <w:rFonts w:cs="Times New Roman"/>
          <w:b/>
          <w:sz w:val="20"/>
          <w:szCs w:val="20"/>
          <w:lang w:val="sr-Cyrl-RS"/>
        </w:rPr>
      </w:pPr>
      <w:r w:rsidRPr="0013512B">
        <w:rPr>
          <w:rFonts w:cs="Times New Roman"/>
          <w:b/>
          <w:sz w:val="20"/>
          <w:szCs w:val="20"/>
          <w:lang w:val="sr-Cyrl-RS"/>
        </w:rPr>
        <w:t>ДОДАТНЕ ИНФОРМАЦИЈЕ ИЛИ ПОЈАШЊЕЊА БР. 1</w:t>
      </w:r>
    </w:p>
    <w:p w:rsidR="008E76F4" w:rsidRPr="0013512B" w:rsidRDefault="008E76F4" w:rsidP="003C6368">
      <w:pPr>
        <w:jc w:val="center"/>
        <w:rPr>
          <w:rFonts w:eastAsia="Times New Roman" w:cs="Times New Roman"/>
          <w:b/>
          <w:noProof/>
          <w:sz w:val="20"/>
          <w:szCs w:val="20"/>
          <w:lang w:val="sr-Cyrl-RS"/>
        </w:rPr>
      </w:pPr>
      <w:r w:rsidRPr="0013512B">
        <w:rPr>
          <w:rFonts w:cs="Times New Roman"/>
          <w:b/>
          <w:sz w:val="20"/>
          <w:szCs w:val="20"/>
          <w:lang w:val="sr-Cyrl-RS"/>
        </w:rPr>
        <w:t xml:space="preserve">У ВЕЗИ КОНКУРСНЕ ДОКУМЕНТАЦИЈЕ ЗА ЈАВНУ НАБАВКУ </w:t>
      </w:r>
      <w:r w:rsidRPr="0013512B">
        <w:rPr>
          <w:rFonts w:eastAsia="Times New Roman" w:cs="Times New Roman"/>
          <w:b/>
          <w:noProof/>
          <w:sz w:val="20"/>
          <w:szCs w:val="20"/>
          <w:lang w:val="sr-Cyrl-RS"/>
        </w:rPr>
        <w:t>УСЛУГА МОНИТОРИНГА КВАЛИТЕТА ЖИВОТНЕ СРЕДИНЕ У АУТОНОМНОЈ ПОКРАЈИНИ ВОЈВОДИНИ У 2017. ГОДИНИ</w:t>
      </w:r>
    </w:p>
    <w:p w:rsidR="008E76F4" w:rsidRPr="0013512B" w:rsidRDefault="008E76F4" w:rsidP="003C6368">
      <w:pPr>
        <w:widowControl/>
        <w:jc w:val="center"/>
        <w:rPr>
          <w:rFonts w:eastAsia="Times New Roman" w:cs="Times New Roman"/>
          <w:b/>
          <w:sz w:val="20"/>
          <w:szCs w:val="20"/>
          <w:lang w:val="en-GB"/>
        </w:rPr>
      </w:pPr>
      <w:r w:rsidRPr="0013512B">
        <w:rPr>
          <w:rFonts w:eastAsia="Times New Roman" w:cs="Times New Roman"/>
          <w:b/>
          <w:sz w:val="20"/>
          <w:szCs w:val="20"/>
          <w:lang w:val="sr-Cyrl-RS"/>
        </w:rPr>
        <w:t>ОБЛИКОВАНУ ПО ПАРТИЈАМА ОД 1 ДО 4</w:t>
      </w:r>
    </w:p>
    <w:p w:rsidR="008E76F4" w:rsidRPr="0013512B" w:rsidRDefault="008E76F4" w:rsidP="003C6368">
      <w:pPr>
        <w:suppressAutoHyphens/>
        <w:spacing w:line="100" w:lineRule="atLeast"/>
        <w:jc w:val="center"/>
        <w:rPr>
          <w:rFonts w:eastAsia="Times New Roman" w:cs="Times New Roman"/>
          <w:b/>
          <w:sz w:val="20"/>
          <w:szCs w:val="20"/>
          <w:lang w:val="sr-Cyrl-RS" w:eastAsia="ar-SA"/>
        </w:rPr>
      </w:pPr>
      <w:r w:rsidRPr="0013512B">
        <w:rPr>
          <w:rFonts w:eastAsia="Times New Roman" w:cs="Times New Roman"/>
          <w:b/>
          <w:sz w:val="20"/>
          <w:szCs w:val="20"/>
          <w:lang w:val="sr-Cyrl-RS" w:eastAsia="ar-SA"/>
        </w:rPr>
        <w:t>И ТО ЗА</w:t>
      </w:r>
    </w:p>
    <w:p w:rsidR="008E76F4" w:rsidRPr="0013512B" w:rsidRDefault="00FB3FD8" w:rsidP="003C6368">
      <w:pPr>
        <w:suppressAutoHyphens/>
        <w:spacing w:line="100" w:lineRule="atLeast"/>
        <w:jc w:val="center"/>
        <w:rPr>
          <w:rFonts w:eastAsia="Times New Roman" w:cs="Times New Roman"/>
          <w:b/>
          <w:sz w:val="20"/>
          <w:szCs w:val="20"/>
          <w:lang w:val="sr-Cyrl-RS" w:eastAsia="ar-SA"/>
        </w:rPr>
      </w:pPr>
      <w:r w:rsidRPr="0013512B">
        <w:rPr>
          <w:rFonts w:eastAsia="Times New Roman" w:cs="Times New Roman"/>
          <w:b/>
          <w:sz w:val="20"/>
          <w:szCs w:val="20"/>
          <w:lang w:val="sr-Cyrl-RS" w:eastAsia="ar-SA"/>
        </w:rPr>
        <w:t xml:space="preserve">ПАРТИЈУ </w:t>
      </w:r>
      <w:r w:rsidRPr="0013512B">
        <w:rPr>
          <w:rFonts w:eastAsia="Times New Roman" w:cs="Times New Roman"/>
          <w:b/>
          <w:sz w:val="20"/>
          <w:szCs w:val="20"/>
          <w:lang w:val="sr-Latn-RS" w:eastAsia="ar-SA"/>
        </w:rPr>
        <w:t>2</w:t>
      </w:r>
      <w:r w:rsidR="008E76F4" w:rsidRPr="0013512B">
        <w:rPr>
          <w:rFonts w:eastAsia="Times New Roman" w:cs="Times New Roman"/>
          <w:b/>
          <w:sz w:val="20"/>
          <w:szCs w:val="20"/>
          <w:lang w:val="sr-Cyrl-RS" w:eastAsia="ar-SA"/>
        </w:rPr>
        <w:t xml:space="preserve"> – </w:t>
      </w:r>
      <w:r w:rsidR="00E6742A" w:rsidRPr="00A54315">
        <w:rPr>
          <w:rFonts w:eastAsia="Times New Roman" w:cs="Times New Roman"/>
          <w:b/>
          <w:sz w:val="20"/>
          <w:szCs w:val="20"/>
          <w:lang w:val="sr-Cyrl-RS" w:eastAsia="ar-SA"/>
        </w:rPr>
        <w:t>УСЛУГА МОНИТОРИНГА НЕЈОНИЗУЈУЋИХ ЗРАЧЕЊА  - ВИСОКОФРЕКВЕНТНО ПОДРУЧЈЕ</w:t>
      </w:r>
      <w:r w:rsidR="00E6742A" w:rsidRPr="0013512B">
        <w:rPr>
          <w:rFonts w:eastAsia="Times New Roman" w:cs="Times New Roman"/>
          <w:b/>
          <w:sz w:val="20"/>
          <w:szCs w:val="20"/>
          <w:lang w:val="sr-Cyrl-RS" w:eastAsia="ar-SA"/>
        </w:rPr>
        <w:t xml:space="preserve"> </w:t>
      </w:r>
    </w:p>
    <w:p w:rsidR="008E76F4" w:rsidRPr="0013512B" w:rsidRDefault="00052301" w:rsidP="00052301">
      <w:pPr>
        <w:suppressAutoHyphens/>
        <w:spacing w:line="100" w:lineRule="atLeast"/>
        <w:jc w:val="center"/>
        <w:rPr>
          <w:rFonts w:eastAsia="Times New Roman" w:cs="Times New Roman"/>
          <w:noProof/>
          <w:sz w:val="20"/>
          <w:szCs w:val="20"/>
          <w:lang w:val="sr-Cyrl-RS"/>
        </w:rPr>
      </w:pPr>
      <w:r w:rsidRPr="0013512B">
        <w:rPr>
          <w:rFonts w:eastAsia="Times New Roman" w:cs="Times New Roman"/>
          <w:b/>
          <w:sz w:val="20"/>
          <w:szCs w:val="20"/>
          <w:lang w:val="sr-Cyrl-RS" w:eastAsia="ar-SA"/>
        </w:rPr>
        <w:t>ЈН ОП 11/2017</w:t>
      </w:r>
    </w:p>
    <w:p w:rsidR="008E76F4" w:rsidRPr="0013512B" w:rsidRDefault="008E76F4" w:rsidP="003C6368">
      <w:pPr>
        <w:widowControl/>
        <w:tabs>
          <w:tab w:val="center" w:pos="4703"/>
          <w:tab w:val="right" w:pos="9406"/>
        </w:tabs>
        <w:jc w:val="both"/>
        <w:rPr>
          <w:rFonts w:cs="Times New Roman"/>
          <w:b/>
          <w:sz w:val="20"/>
          <w:szCs w:val="20"/>
          <w:lang w:val="sr-Cyrl-RS"/>
        </w:rPr>
      </w:pPr>
    </w:p>
    <w:p w:rsidR="008E76F4" w:rsidRPr="0013512B" w:rsidRDefault="008E76F4" w:rsidP="003C6368">
      <w:pPr>
        <w:ind w:left="112"/>
        <w:jc w:val="both"/>
        <w:rPr>
          <w:rFonts w:eastAsia="Verdana" w:cs="Verdana"/>
          <w:b/>
          <w:sz w:val="20"/>
          <w:szCs w:val="20"/>
          <w:lang w:val="sr-Cyrl-RS"/>
        </w:rPr>
      </w:pPr>
    </w:p>
    <w:p w:rsidR="008E76F4" w:rsidRPr="0013512B" w:rsidRDefault="008E76F4" w:rsidP="0013512B">
      <w:pPr>
        <w:jc w:val="both"/>
        <w:rPr>
          <w:rFonts w:eastAsia="Times New Roman" w:cs="Times New Roman"/>
          <w:sz w:val="20"/>
          <w:szCs w:val="20"/>
          <w:lang w:val="sr-Cyrl-RS" w:eastAsia="ar-SA"/>
        </w:rPr>
      </w:pPr>
      <w:r w:rsidRPr="0013512B">
        <w:rPr>
          <w:rFonts w:eastAsia="Verdana" w:cs="Verdana"/>
          <w:sz w:val="20"/>
          <w:szCs w:val="20"/>
          <w:u w:val="single"/>
          <w:lang w:val="sr-Cyrl-RS"/>
        </w:rPr>
        <w:t>Предмет:</w:t>
      </w:r>
      <w:r w:rsidRPr="0013512B">
        <w:rPr>
          <w:rFonts w:eastAsia="Verdana" w:cs="Verdana"/>
          <w:b/>
          <w:sz w:val="20"/>
          <w:szCs w:val="20"/>
          <w:lang w:val="sr-Cyrl-RS"/>
        </w:rPr>
        <w:t xml:space="preserve"> </w:t>
      </w:r>
      <w:r w:rsidRPr="0013512B">
        <w:rPr>
          <w:rFonts w:eastAsia="Verdana" w:cs="Verdana"/>
          <w:sz w:val="20"/>
          <w:szCs w:val="20"/>
          <w:lang w:val="sr-Cyrl-RS"/>
        </w:rPr>
        <w:t>Одговор на додатне информације или појашњење у вези јавне набавке</w:t>
      </w:r>
      <w:r w:rsidRPr="0013512B">
        <w:rPr>
          <w:rFonts w:eastAsia="Times New Roman" w:cs="Times New Roman"/>
          <w:noProof/>
          <w:sz w:val="20"/>
          <w:szCs w:val="20"/>
          <w:lang w:val="sr-Cyrl-RS"/>
        </w:rPr>
        <w:t xml:space="preserve"> </w:t>
      </w:r>
      <w:r w:rsidR="003C6368" w:rsidRPr="0013512B">
        <w:rPr>
          <w:rFonts w:eastAsia="Times New Roman" w:cs="Times New Roman"/>
          <w:noProof/>
          <w:sz w:val="20"/>
          <w:szCs w:val="20"/>
          <w:lang w:val="sr-Cyrl-RS"/>
        </w:rPr>
        <w:t>У</w:t>
      </w:r>
      <w:r w:rsidRPr="0013512B">
        <w:rPr>
          <w:rFonts w:eastAsia="Times New Roman" w:cs="Times New Roman"/>
          <w:noProof/>
          <w:sz w:val="20"/>
          <w:szCs w:val="20"/>
          <w:lang w:val="sr-Cyrl-RS"/>
        </w:rPr>
        <w:t xml:space="preserve">слуга мониторинга квалитета животне средине у </w:t>
      </w:r>
      <w:r w:rsidR="003C6368" w:rsidRPr="0013512B">
        <w:rPr>
          <w:rFonts w:eastAsia="Times New Roman" w:cs="Times New Roman"/>
          <w:noProof/>
          <w:sz w:val="20"/>
          <w:szCs w:val="20"/>
          <w:lang w:val="sr-Cyrl-RS"/>
        </w:rPr>
        <w:t>А</w:t>
      </w:r>
      <w:r w:rsidRPr="0013512B">
        <w:rPr>
          <w:rFonts w:eastAsia="Times New Roman" w:cs="Times New Roman"/>
          <w:noProof/>
          <w:sz w:val="20"/>
          <w:szCs w:val="20"/>
          <w:lang w:val="sr-Cyrl-RS"/>
        </w:rPr>
        <w:t xml:space="preserve">утономној покрајини </w:t>
      </w:r>
      <w:r w:rsidR="003C6368" w:rsidRPr="0013512B">
        <w:rPr>
          <w:rFonts w:eastAsia="Times New Roman" w:cs="Times New Roman"/>
          <w:noProof/>
          <w:sz w:val="20"/>
          <w:szCs w:val="20"/>
          <w:lang w:val="sr-Cyrl-RS"/>
        </w:rPr>
        <w:t>В</w:t>
      </w:r>
      <w:r w:rsidRPr="0013512B">
        <w:rPr>
          <w:rFonts w:eastAsia="Times New Roman" w:cs="Times New Roman"/>
          <w:noProof/>
          <w:sz w:val="20"/>
          <w:szCs w:val="20"/>
          <w:lang w:val="sr-Cyrl-RS"/>
        </w:rPr>
        <w:t xml:space="preserve">ојводини у 2017. години, </w:t>
      </w:r>
      <w:r w:rsidRPr="0013512B">
        <w:rPr>
          <w:rFonts w:eastAsia="Times New Roman" w:cs="Times New Roman"/>
          <w:sz w:val="20"/>
          <w:szCs w:val="20"/>
          <w:lang w:val="sr-Cyrl-RS"/>
        </w:rPr>
        <w:t>обликован</w:t>
      </w:r>
      <w:r w:rsidR="003C6368" w:rsidRPr="0013512B">
        <w:rPr>
          <w:rFonts w:eastAsia="Times New Roman" w:cs="Times New Roman"/>
          <w:sz w:val="20"/>
          <w:szCs w:val="20"/>
          <w:lang w:val="sr-Cyrl-RS"/>
        </w:rPr>
        <w:t>е</w:t>
      </w:r>
      <w:r w:rsidRPr="0013512B">
        <w:rPr>
          <w:rFonts w:eastAsia="Times New Roman" w:cs="Times New Roman"/>
          <w:sz w:val="20"/>
          <w:szCs w:val="20"/>
          <w:lang w:val="sr-Cyrl-RS"/>
        </w:rPr>
        <w:t xml:space="preserve"> по партијама од 1 до 4</w:t>
      </w:r>
      <w:r w:rsidRPr="0013512B">
        <w:rPr>
          <w:rFonts w:eastAsia="Times New Roman" w:cs="Times New Roman"/>
          <w:noProof/>
          <w:sz w:val="20"/>
          <w:szCs w:val="20"/>
          <w:lang w:val="sr-Cyrl-RS"/>
        </w:rPr>
        <w:t xml:space="preserve"> </w:t>
      </w:r>
      <w:r w:rsidRPr="0013512B">
        <w:rPr>
          <w:rFonts w:eastAsia="Times New Roman" w:cs="Times New Roman"/>
          <w:sz w:val="20"/>
          <w:szCs w:val="20"/>
          <w:lang w:val="sr-Cyrl-RS" w:eastAsia="ar-SA"/>
        </w:rPr>
        <w:t>и то за</w:t>
      </w:r>
      <w:r w:rsidR="0013512B">
        <w:rPr>
          <w:rFonts w:eastAsia="Times New Roman" w:cs="Times New Roman"/>
          <w:sz w:val="20"/>
          <w:szCs w:val="20"/>
          <w:lang w:val="sr-Cyrl-RS" w:eastAsia="ar-SA"/>
        </w:rPr>
        <w:t xml:space="preserve"> </w:t>
      </w:r>
      <w:r w:rsidRPr="0013512B">
        <w:rPr>
          <w:rFonts w:eastAsia="Times New Roman" w:cs="Times New Roman"/>
          <w:b/>
          <w:sz w:val="20"/>
          <w:szCs w:val="20"/>
          <w:lang w:val="sr-Cyrl-RS" w:eastAsia="ar-SA"/>
        </w:rPr>
        <w:t xml:space="preserve">ПАРТИЈУ </w:t>
      </w:r>
      <w:r w:rsidR="00FB3FD8" w:rsidRPr="0013512B">
        <w:rPr>
          <w:rFonts w:eastAsia="Times New Roman" w:cs="Times New Roman"/>
          <w:b/>
          <w:sz w:val="20"/>
          <w:szCs w:val="20"/>
          <w:lang w:val="sr-Latn-RS" w:eastAsia="ar-SA"/>
        </w:rPr>
        <w:t>2</w:t>
      </w:r>
      <w:r w:rsidRPr="0013512B">
        <w:rPr>
          <w:rFonts w:eastAsia="Times New Roman" w:cs="Times New Roman"/>
          <w:b/>
          <w:sz w:val="20"/>
          <w:szCs w:val="20"/>
          <w:lang w:val="sr-Cyrl-RS" w:eastAsia="ar-SA"/>
        </w:rPr>
        <w:t xml:space="preserve"> – </w:t>
      </w:r>
      <w:r w:rsidR="00E6742A" w:rsidRPr="00A54315">
        <w:rPr>
          <w:rFonts w:eastAsia="Times New Roman" w:cs="Times New Roman"/>
          <w:b/>
          <w:sz w:val="20"/>
          <w:szCs w:val="20"/>
          <w:lang w:val="sr-Cyrl-RS" w:eastAsia="ar-SA"/>
        </w:rPr>
        <w:t>УСЛУГА МОНИТОРИНГА НЕЈОНИЗУЈУЋИХ ЗРАЧЕЊА  - ВИСОКОФРЕКВЕНТНО ПОДРУЧЈЕ</w:t>
      </w:r>
      <w:r w:rsidR="00E6742A">
        <w:rPr>
          <w:rFonts w:eastAsia="Times New Roman" w:cs="Times New Roman"/>
          <w:b/>
          <w:sz w:val="20"/>
          <w:szCs w:val="20"/>
          <w:lang w:val="sr-Cyrl-RS" w:eastAsia="ar-SA"/>
        </w:rPr>
        <w:t>,  У ОТВОРЕНОМ ПОСТУПКУ</w:t>
      </w:r>
      <w:r w:rsidR="00E6742A" w:rsidRPr="0013512B">
        <w:rPr>
          <w:rFonts w:eastAsia="Times New Roman" w:cs="Times New Roman"/>
          <w:b/>
          <w:sz w:val="20"/>
          <w:szCs w:val="20"/>
          <w:lang w:val="sr-Cyrl-RS" w:eastAsia="ar-SA"/>
        </w:rPr>
        <w:t xml:space="preserve"> </w:t>
      </w:r>
    </w:p>
    <w:p w:rsidR="008E76F4" w:rsidRPr="00D35E65" w:rsidRDefault="00E6742A" w:rsidP="00D35E65">
      <w:pPr>
        <w:suppressAutoHyphens/>
        <w:spacing w:line="100" w:lineRule="atLeast"/>
        <w:jc w:val="both"/>
        <w:rPr>
          <w:rFonts w:eastAsia="Times New Roman" w:cs="Times New Roman"/>
          <w:noProof/>
          <w:sz w:val="20"/>
          <w:szCs w:val="20"/>
          <w:lang w:val="sr-Latn-RS"/>
        </w:rPr>
      </w:pPr>
      <w:r>
        <w:rPr>
          <w:rFonts w:eastAsia="Times New Roman" w:cs="Times New Roman"/>
          <w:b/>
          <w:sz w:val="20"/>
          <w:szCs w:val="20"/>
          <w:lang w:val="sr-Cyrl-RS" w:eastAsia="ar-SA"/>
        </w:rPr>
        <w:t xml:space="preserve"> </w:t>
      </w:r>
    </w:p>
    <w:p w:rsidR="008E76F4" w:rsidRPr="00CF4D5B" w:rsidRDefault="008E76F4" w:rsidP="003C6368">
      <w:pPr>
        <w:jc w:val="both"/>
        <w:rPr>
          <w:rFonts w:eastAsia="Times New Roman" w:cs="Times New Roman"/>
          <w:sz w:val="20"/>
          <w:szCs w:val="20"/>
          <w:lang w:val="sr-Cyrl-RS" w:eastAsia="ar-SA"/>
        </w:rPr>
      </w:pPr>
      <w:r w:rsidRPr="00ED005B">
        <w:rPr>
          <w:rFonts w:eastAsia="Verdana" w:cs="Verdana"/>
          <w:b/>
          <w:color w:val="FF0000"/>
          <w:sz w:val="20"/>
          <w:szCs w:val="20"/>
          <w:lang w:val="sr-Cyrl-RS"/>
        </w:rPr>
        <w:tab/>
      </w:r>
      <w:r w:rsidRPr="00CF4D5B">
        <w:rPr>
          <w:rFonts w:eastAsia="Verdana" w:cs="Verdana"/>
          <w:sz w:val="20"/>
          <w:szCs w:val="20"/>
          <w:lang w:val="sr-Cyrl-RS"/>
        </w:rPr>
        <w:t>Заинтересовано лице је, сходно члану 63. став 2. Закона о јавним набавкама (</w:t>
      </w:r>
      <w:r w:rsidRPr="00CF4D5B">
        <w:rPr>
          <w:spacing w:val="2"/>
          <w:sz w:val="20"/>
          <w:szCs w:val="20"/>
        </w:rPr>
        <w:t>„</w:t>
      </w:r>
      <w:proofErr w:type="spellStart"/>
      <w:r w:rsidRPr="00CF4D5B">
        <w:rPr>
          <w:sz w:val="20"/>
          <w:szCs w:val="20"/>
        </w:rPr>
        <w:t>С</w:t>
      </w:r>
      <w:r w:rsidRPr="00CF4D5B">
        <w:rPr>
          <w:spacing w:val="1"/>
          <w:sz w:val="20"/>
          <w:szCs w:val="20"/>
        </w:rPr>
        <w:t>л</w:t>
      </w:r>
      <w:r w:rsidRPr="00CF4D5B">
        <w:rPr>
          <w:sz w:val="20"/>
          <w:szCs w:val="20"/>
        </w:rPr>
        <w:t>у</w:t>
      </w:r>
      <w:r w:rsidRPr="00CF4D5B">
        <w:rPr>
          <w:spacing w:val="-1"/>
          <w:sz w:val="20"/>
          <w:szCs w:val="20"/>
        </w:rPr>
        <w:t>ж</w:t>
      </w:r>
      <w:r w:rsidRPr="00CF4D5B">
        <w:rPr>
          <w:spacing w:val="2"/>
          <w:sz w:val="20"/>
          <w:szCs w:val="20"/>
        </w:rPr>
        <w:t>б</w:t>
      </w:r>
      <w:r w:rsidRPr="00CF4D5B">
        <w:rPr>
          <w:spacing w:val="-2"/>
          <w:sz w:val="20"/>
          <w:szCs w:val="20"/>
        </w:rPr>
        <w:t>е</w:t>
      </w:r>
      <w:r w:rsidRPr="00CF4D5B">
        <w:rPr>
          <w:spacing w:val="2"/>
          <w:sz w:val="20"/>
          <w:szCs w:val="20"/>
        </w:rPr>
        <w:t>н</w:t>
      </w:r>
      <w:r w:rsidRPr="00CF4D5B">
        <w:rPr>
          <w:sz w:val="20"/>
          <w:szCs w:val="20"/>
        </w:rPr>
        <w:t>и</w:t>
      </w:r>
      <w:proofErr w:type="spellEnd"/>
      <w:r w:rsidRPr="00CF4D5B">
        <w:rPr>
          <w:spacing w:val="47"/>
          <w:sz w:val="20"/>
          <w:szCs w:val="20"/>
        </w:rPr>
        <w:t xml:space="preserve"> </w:t>
      </w:r>
      <w:proofErr w:type="spellStart"/>
      <w:r w:rsidRPr="00CF4D5B">
        <w:rPr>
          <w:sz w:val="20"/>
          <w:szCs w:val="20"/>
        </w:rPr>
        <w:t>гл</w:t>
      </w:r>
      <w:r w:rsidRPr="00CF4D5B">
        <w:rPr>
          <w:spacing w:val="2"/>
          <w:sz w:val="20"/>
          <w:szCs w:val="20"/>
        </w:rPr>
        <w:t>а</w:t>
      </w:r>
      <w:r w:rsidRPr="00CF4D5B">
        <w:rPr>
          <w:spacing w:val="-1"/>
          <w:sz w:val="20"/>
          <w:szCs w:val="20"/>
        </w:rPr>
        <w:t>с</w:t>
      </w:r>
      <w:r w:rsidRPr="00CF4D5B">
        <w:rPr>
          <w:sz w:val="20"/>
          <w:szCs w:val="20"/>
        </w:rPr>
        <w:t>ник</w:t>
      </w:r>
      <w:proofErr w:type="spellEnd"/>
      <w:r w:rsidRPr="00CF4D5B">
        <w:rPr>
          <w:spacing w:val="49"/>
          <w:sz w:val="20"/>
          <w:szCs w:val="20"/>
        </w:rPr>
        <w:t xml:space="preserve"> </w:t>
      </w:r>
      <w:r w:rsidRPr="00CF4D5B">
        <w:rPr>
          <w:sz w:val="20"/>
          <w:szCs w:val="20"/>
        </w:rPr>
        <w:t>РС</w:t>
      </w:r>
      <w:r w:rsidRPr="00CF4D5B">
        <w:rPr>
          <w:spacing w:val="2"/>
          <w:sz w:val="20"/>
          <w:szCs w:val="20"/>
        </w:rPr>
        <w:t>“</w:t>
      </w:r>
      <w:r w:rsidRPr="00CF4D5B">
        <w:rPr>
          <w:sz w:val="20"/>
          <w:szCs w:val="20"/>
        </w:rPr>
        <w:t>,</w:t>
      </w:r>
      <w:r w:rsidRPr="00CF4D5B">
        <w:rPr>
          <w:spacing w:val="48"/>
          <w:sz w:val="20"/>
          <w:szCs w:val="20"/>
        </w:rPr>
        <w:t xml:space="preserve"> </w:t>
      </w:r>
      <w:proofErr w:type="spellStart"/>
      <w:r w:rsidRPr="00CF4D5B">
        <w:rPr>
          <w:sz w:val="20"/>
          <w:szCs w:val="20"/>
        </w:rPr>
        <w:t>бр</w:t>
      </w:r>
      <w:proofErr w:type="spellEnd"/>
      <w:r w:rsidRPr="00CF4D5B">
        <w:rPr>
          <w:sz w:val="20"/>
          <w:szCs w:val="20"/>
        </w:rPr>
        <w:t>.</w:t>
      </w:r>
      <w:r w:rsidRPr="00CF4D5B">
        <w:rPr>
          <w:w w:val="99"/>
          <w:sz w:val="20"/>
          <w:szCs w:val="20"/>
        </w:rPr>
        <w:t xml:space="preserve"> </w:t>
      </w:r>
      <w:r w:rsidRPr="00CF4D5B">
        <w:rPr>
          <w:rFonts w:cs="Verdana"/>
          <w:sz w:val="20"/>
          <w:szCs w:val="20"/>
        </w:rPr>
        <w:t>124/2012,</w:t>
      </w:r>
      <w:r w:rsidRPr="00CF4D5B">
        <w:rPr>
          <w:rFonts w:cs="Verdana"/>
          <w:spacing w:val="33"/>
          <w:sz w:val="20"/>
          <w:szCs w:val="20"/>
        </w:rPr>
        <w:t xml:space="preserve"> </w:t>
      </w:r>
      <w:r w:rsidRPr="00CF4D5B">
        <w:rPr>
          <w:rFonts w:cs="Verdana"/>
          <w:sz w:val="20"/>
          <w:szCs w:val="20"/>
        </w:rPr>
        <w:t>14/2015</w:t>
      </w:r>
      <w:r w:rsidRPr="00CF4D5B">
        <w:rPr>
          <w:rFonts w:cs="Verdana"/>
          <w:spacing w:val="35"/>
          <w:sz w:val="20"/>
          <w:szCs w:val="20"/>
        </w:rPr>
        <w:t xml:space="preserve"> </w:t>
      </w:r>
      <w:r w:rsidRPr="00CF4D5B">
        <w:rPr>
          <w:sz w:val="20"/>
          <w:szCs w:val="20"/>
        </w:rPr>
        <w:t>И</w:t>
      </w:r>
      <w:r w:rsidRPr="00CF4D5B">
        <w:rPr>
          <w:spacing w:val="31"/>
          <w:sz w:val="20"/>
          <w:szCs w:val="20"/>
        </w:rPr>
        <w:t xml:space="preserve"> </w:t>
      </w:r>
      <w:r w:rsidRPr="00CF4D5B">
        <w:rPr>
          <w:sz w:val="20"/>
          <w:szCs w:val="20"/>
        </w:rPr>
        <w:t>68/201</w:t>
      </w:r>
      <w:r w:rsidRPr="00CF4D5B">
        <w:rPr>
          <w:spacing w:val="2"/>
          <w:sz w:val="20"/>
          <w:szCs w:val="20"/>
        </w:rPr>
        <w:t>5</w:t>
      </w:r>
      <w:r w:rsidRPr="00CF4D5B">
        <w:rPr>
          <w:sz w:val="20"/>
          <w:szCs w:val="20"/>
        </w:rPr>
        <w:t>)</w:t>
      </w:r>
      <w:r w:rsidRPr="00CF4D5B">
        <w:rPr>
          <w:sz w:val="20"/>
          <w:szCs w:val="20"/>
          <w:lang w:val="sr-Cyrl-RS"/>
        </w:rPr>
        <w:t xml:space="preserve">, тражило дана </w:t>
      </w:r>
      <w:r w:rsidR="00374C95">
        <w:rPr>
          <w:sz w:val="20"/>
          <w:szCs w:val="20"/>
          <w:lang w:val="en-GB"/>
        </w:rPr>
        <w:t>21</w:t>
      </w:r>
      <w:bookmarkStart w:id="0" w:name="_GoBack"/>
      <w:bookmarkEnd w:id="0"/>
      <w:r w:rsidRPr="00CF4D5B">
        <w:rPr>
          <w:sz w:val="20"/>
          <w:szCs w:val="20"/>
          <w:lang w:val="sr-Cyrl-RS"/>
        </w:rPr>
        <w:t xml:space="preserve">.4.2017. године, у писаном облику, путем </w:t>
      </w:r>
      <w:r w:rsidRPr="00CF4D5B">
        <w:rPr>
          <w:sz w:val="20"/>
          <w:szCs w:val="20"/>
          <w:lang w:val="sr-Latn-RS"/>
        </w:rPr>
        <w:t xml:space="preserve">mail-a, </w:t>
      </w:r>
      <w:r w:rsidRPr="00CF4D5B">
        <w:rPr>
          <w:sz w:val="20"/>
          <w:szCs w:val="20"/>
          <w:lang w:val="sr-Cyrl-RS"/>
        </w:rPr>
        <w:t xml:space="preserve">додатне информације или појашњења у вези са припремањем понуде за јавну набавку </w:t>
      </w:r>
      <w:r w:rsidR="003C6368" w:rsidRPr="00CF4D5B">
        <w:rPr>
          <w:rFonts w:eastAsia="Times New Roman" w:cs="Times New Roman"/>
          <w:noProof/>
          <w:sz w:val="20"/>
          <w:szCs w:val="20"/>
          <w:lang w:val="sr-Cyrl-RS"/>
        </w:rPr>
        <w:t>У</w:t>
      </w:r>
      <w:r w:rsidRPr="00CF4D5B">
        <w:rPr>
          <w:rFonts w:eastAsia="Times New Roman" w:cs="Times New Roman"/>
          <w:noProof/>
          <w:sz w:val="20"/>
          <w:szCs w:val="20"/>
          <w:lang w:val="sr-Cyrl-RS"/>
        </w:rPr>
        <w:t xml:space="preserve">слуга мониторинга квалитета животне средине у </w:t>
      </w:r>
      <w:r w:rsidR="003C6368" w:rsidRPr="00CF4D5B">
        <w:rPr>
          <w:rFonts w:eastAsia="Times New Roman" w:cs="Times New Roman"/>
          <w:noProof/>
          <w:sz w:val="20"/>
          <w:szCs w:val="20"/>
          <w:lang w:val="sr-Cyrl-RS"/>
        </w:rPr>
        <w:t>А</w:t>
      </w:r>
      <w:r w:rsidRPr="00CF4D5B">
        <w:rPr>
          <w:rFonts w:eastAsia="Times New Roman" w:cs="Times New Roman"/>
          <w:noProof/>
          <w:sz w:val="20"/>
          <w:szCs w:val="20"/>
          <w:lang w:val="sr-Cyrl-RS"/>
        </w:rPr>
        <w:t xml:space="preserve">утономној покрајини </w:t>
      </w:r>
      <w:r w:rsidR="003C6368" w:rsidRPr="00CF4D5B">
        <w:rPr>
          <w:rFonts w:eastAsia="Times New Roman" w:cs="Times New Roman"/>
          <w:noProof/>
          <w:sz w:val="20"/>
          <w:szCs w:val="20"/>
          <w:lang w:val="sr-Cyrl-RS"/>
        </w:rPr>
        <w:t>В</w:t>
      </w:r>
      <w:r w:rsidRPr="00CF4D5B">
        <w:rPr>
          <w:rFonts w:eastAsia="Times New Roman" w:cs="Times New Roman"/>
          <w:noProof/>
          <w:sz w:val="20"/>
          <w:szCs w:val="20"/>
          <w:lang w:val="sr-Cyrl-RS"/>
        </w:rPr>
        <w:t xml:space="preserve">ојводини у 2017. години, </w:t>
      </w:r>
      <w:r w:rsidRPr="00CF4D5B">
        <w:rPr>
          <w:rFonts w:eastAsia="Times New Roman" w:cs="Times New Roman"/>
          <w:sz w:val="20"/>
          <w:szCs w:val="20"/>
          <w:lang w:val="sr-Cyrl-RS"/>
        </w:rPr>
        <w:t>обликовану по партијама од 1 до 4</w:t>
      </w:r>
      <w:r w:rsidRPr="00CF4D5B">
        <w:rPr>
          <w:rFonts w:eastAsia="Times New Roman" w:cs="Times New Roman"/>
          <w:noProof/>
          <w:sz w:val="20"/>
          <w:szCs w:val="20"/>
          <w:lang w:val="sr-Cyrl-RS"/>
        </w:rPr>
        <w:t xml:space="preserve"> </w:t>
      </w:r>
      <w:r w:rsidRPr="00CF4D5B">
        <w:rPr>
          <w:rFonts w:eastAsia="Times New Roman" w:cs="Times New Roman"/>
          <w:sz w:val="20"/>
          <w:szCs w:val="20"/>
          <w:lang w:val="sr-Cyrl-RS" w:eastAsia="ar-SA"/>
        </w:rPr>
        <w:t xml:space="preserve">и то за </w:t>
      </w:r>
      <w:r w:rsidRPr="00CF4D5B">
        <w:rPr>
          <w:rFonts w:eastAsia="Times New Roman" w:cs="Times New Roman"/>
          <w:b/>
          <w:sz w:val="20"/>
          <w:szCs w:val="20"/>
          <w:lang w:val="sr-Cyrl-RS" w:eastAsia="ar-SA"/>
        </w:rPr>
        <w:t xml:space="preserve">ПАРТИЈУ </w:t>
      </w:r>
      <w:r w:rsidR="0013512B" w:rsidRPr="00CF4D5B">
        <w:rPr>
          <w:rFonts w:eastAsia="Times New Roman" w:cs="Times New Roman"/>
          <w:b/>
          <w:sz w:val="20"/>
          <w:szCs w:val="20"/>
          <w:lang w:val="sr-Cyrl-RS" w:eastAsia="ar-SA"/>
        </w:rPr>
        <w:t>2</w:t>
      </w:r>
      <w:r w:rsidRPr="00CF4D5B">
        <w:rPr>
          <w:rFonts w:eastAsia="Times New Roman" w:cs="Times New Roman"/>
          <w:b/>
          <w:sz w:val="20"/>
          <w:szCs w:val="20"/>
          <w:lang w:val="sr-Cyrl-RS" w:eastAsia="ar-SA"/>
        </w:rPr>
        <w:t xml:space="preserve"> – </w:t>
      </w:r>
      <w:r w:rsidR="0013512B" w:rsidRPr="00CF4D5B">
        <w:rPr>
          <w:rFonts w:eastAsia="Times New Roman" w:cs="Times New Roman"/>
          <w:b/>
          <w:sz w:val="20"/>
          <w:szCs w:val="20"/>
          <w:lang w:val="sr-Cyrl-RS" w:eastAsia="ar-SA"/>
        </w:rPr>
        <w:t>УСЛУГА МОНИТОРИНГА НЕЈОНИЗУЈУЋИХ ЗРАЧЕЊА  - ВИСОКОФРЕКВЕНТНО ПОДРУЧЈЕ</w:t>
      </w:r>
      <w:r w:rsidRPr="00CF4D5B">
        <w:rPr>
          <w:rFonts w:eastAsia="Times New Roman" w:cs="Times New Roman"/>
          <w:b/>
          <w:sz w:val="20"/>
          <w:szCs w:val="20"/>
          <w:lang w:val="sr-Cyrl-RS" w:eastAsia="ar-SA"/>
        </w:rPr>
        <w:t>,</w:t>
      </w:r>
      <w:r w:rsidR="003C6368" w:rsidRPr="00CF4D5B">
        <w:rPr>
          <w:rFonts w:eastAsia="Times New Roman" w:cs="Times New Roman"/>
          <w:sz w:val="20"/>
          <w:szCs w:val="20"/>
          <w:lang w:val="sr-Cyrl-RS" w:eastAsia="ar-SA"/>
        </w:rPr>
        <w:t xml:space="preserve"> </w:t>
      </w:r>
      <w:r w:rsidRPr="00CF4D5B">
        <w:rPr>
          <w:rFonts w:eastAsia="Verdana" w:cs="Verdana"/>
          <w:bCs/>
          <w:sz w:val="20"/>
          <w:szCs w:val="20"/>
          <w:lang w:val="sr-Cyrl-RS"/>
        </w:rPr>
        <w:t>у оквиру кога је поставило следећа питања:</w:t>
      </w:r>
    </w:p>
    <w:p w:rsidR="008E76F4" w:rsidRPr="00D35E65" w:rsidRDefault="003C6368" w:rsidP="00D35E65">
      <w:pPr>
        <w:jc w:val="both"/>
        <w:rPr>
          <w:color w:val="FF0000"/>
          <w:sz w:val="20"/>
          <w:szCs w:val="20"/>
          <w:lang w:val="sr-Cyrl-RS"/>
        </w:rPr>
      </w:pPr>
      <w:r w:rsidRPr="00D35E65">
        <w:rPr>
          <w:color w:val="FF0000"/>
          <w:sz w:val="20"/>
          <w:szCs w:val="20"/>
          <w:lang w:val="sr-Cyrl-RS"/>
        </w:rPr>
        <w:t xml:space="preserve"> </w:t>
      </w:r>
    </w:p>
    <w:p w:rsidR="00D35E65" w:rsidRPr="00D35E65" w:rsidRDefault="00D35E65" w:rsidP="003C6368">
      <w:pPr>
        <w:jc w:val="both"/>
        <w:rPr>
          <w:color w:val="FF0000"/>
          <w:sz w:val="20"/>
          <w:szCs w:val="20"/>
          <w:lang w:val="sr-Latn-RS"/>
        </w:rPr>
      </w:pPr>
      <w:r>
        <w:rPr>
          <w:color w:val="FF0000"/>
          <w:sz w:val="20"/>
          <w:szCs w:val="20"/>
          <w:lang w:val="sr-Latn-RS"/>
        </w:rPr>
        <w:t xml:space="preserve"> </w:t>
      </w:r>
    </w:p>
    <w:tbl>
      <w:tblPr>
        <w:tblW w:w="4700" w:type="pct"/>
        <w:jc w:val="center"/>
        <w:tblCellMar>
          <w:left w:w="57" w:type="dxa"/>
          <w:right w:w="57" w:type="dxa"/>
        </w:tblCellMar>
        <w:tblLook w:val="04A0" w:firstRow="1" w:lastRow="0" w:firstColumn="1" w:lastColumn="0" w:noHBand="0" w:noVBand="1"/>
      </w:tblPr>
      <w:tblGrid>
        <w:gridCol w:w="8592"/>
      </w:tblGrid>
      <w:tr w:rsidR="00D35E65" w:rsidRPr="00D35E65" w:rsidTr="00BB1A5C">
        <w:trPr>
          <w:jc w:val="center"/>
        </w:trPr>
        <w:tc>
          <w:tcPr>
            <w:tcW w:w="9167" w:type="dxa"/>
            <w:shd w:val="clear" w:color="auto" w:fill="auto"/>
          </w:tcPr>
          <w:p w:rsidR="00D35E65" w:rsidRPr="00374C95" w:rsidRDefault="00D35E65" w:rsidP="00D35E65">
            <w:pPr>
              <w:widowControl/>
              <w:spacing w:before="240" w:after="60"/>
              <w:ind w:left="57"/>
              <w:rPr>
                <w:rFonts w:asciiTheme="majorHAnsi" w:eastAsia="Times New Roman" w:hAnsiTheme="majorHAnsi" w:cs="Times New Roman"/>
                <w:sz w:val="20"/>
                <w:szCs w:val="20"/>
                <w:highlight w:val="green"/>
                <w:lang w:val="en-GB"/>
              </w:rPr>
            </w:pPr>
            <w:proofErr w:type="spellStart"/>
            <w:r w:rsidRPr="00374C95">
              <w:rPr>
                <w:rFonts w:asciiTheme="majorHAnsi" w:eastAsia="Times New Roman" w:hAnsiTheme="majorHAnsi" w:cs="Times New Roman"/>
                <w:sz w:val="20"/>
                <w:szCs w:val="20"/>
                <w:lang w:val="en-GB"/>
              </w:rPr>
              <w:t>Predmet</w:t>
            </w:r>
            <w:proofErr w:type="spellEnd"/>
            <w:r w:rsidRPr="00374C95">
              <w:rPr>
                <w:rFonts w:asciiTheme="majorHAnsi" w:eastAsia="Times New Roman" w:hAnsiTheme="majorHAnsi" w:cs="Times New Roman"/>
                <w:sz w:val="20"/>
                <w:szCs w:val="20"/>
                <w:lang w:val="en-GB"/>
              </w:rPr>
              <w:t xml:space="preserve">:  </w:t>
            </w:r>
            <w:r w:rsidRPr="00374C95">
              <w:rPr>
                <w:rFonts w:asciiTheme="majorHAnsi" w:eastAsia="Times New Roman" w:hAnsiTheme="majorHAnsi" w:cs="Times New Roman"/>
                <w:sz w:val="20"/>
                <w:szCs w:val="20"/>
                <w:lang w:val="sr-Latn-RS"/>
              </w:rPr>
              <w:t xml:space="preserve">Traženje dodatnih informacija ili pojašnjenja u vezi sa pripremanjem ponude za </w:t>
            </w:r>
            <w:r w:rsidRPr="00374C95">
              <w:rPr>
                <w:rFonts w:asciiTheme="majorHAnsi" w:eastAsia="Times New Roman" w:hAnsiTheme="majorHAnsi" w:cs="Times New Roman"/>
                <w:b/>
                <w:sz w:val="20"/>
                <w:szCs w:val="20"/>
                <w:lang w:val="sr-Latn-RS"/>
              </w:rPr>
              <w:t>JAVNU NABAVKU USLUGA MONITORINGA KVALITETA ŽIVOTNE SREDINE U AUTONOMNOJ POKRAJINI VOJVODINI U 2017. GODINI, KOJA JE OBLIKOVANA U VIŠE POSEBNIH ISTOVRSNIH CELINA (PARTIJA) OD 1 DO 4, I TO ZA PARTIJU 2 – USLUGA MONITORINGA NEJONIZUJUĆIH ZRAČENJA – VISOKOFREKVENTNO PODRUČJE (JN OP 11/2017)</w:t>
            </w:r>
          </w:p>
        </w:tc>
      </w:tr>
      <w:tr w:rsidR="00D35E65" w:rsidRPr="00D35E65" w:rsidTr="00BB1A5C">
        <w:trPr>
          <w:jc w:val="center"/>
        </w:trPr>
        <w:tc>
          <w:tcPr>
            <w:tcW w:w="9167" w:type="dxa"/>
            <w:shd w:val="clear" w:color="auto" w:fill="auto"/>
          </w:tcPr>
          <w:p w:rsidR="00D35E65" w:rsidRPr="00374C95" w:rsidRDefault="00D35E65" w:rsidP="00D35E65">
            <w:pPr>
              <w:widowControl/>
              <w:spacing w:before="480" w:after="120"/>
              <w:ind w:left="57" w:right="57"/>
              <w:jc w:val="both"/>
              <w:rPr>
                <w:rFonts w:asciiTheme="majorHAnsi" w:eastAsia="Times New Roman" w:hAnsiTheme="majorHAnsi" w:cs="Times New Roman"/>
                <w:sz w:val="20"/>
                <w:szCs w:val="20"/>
                <w:lang w:val="sr-Latn-CS"/>
              </w:rPr>
            </w:pPr>
            <w:r w:rsidRPr="00374C95">
              <w:rPr>
                <w:rFonts w:asciiTheme="majorHAnsi" w:eastAsia="Times New Roman" w:hAnsiTheme="majorHAnsi" w:cs="Times New Roman"/>
                <w:sz w:val="20"/>
                <w:szCs w:val="20"/>
                <w:lang w:val="sr-Latn-CS"/>
              </w:rPr>
              <w:t>Poštovana,</w:t>
            </w:r>
          </w:p>
          <w:p w:rsidR="00D35E65" w:rsidRPr="00374C95" w:rsidRDefault="00D35E65" w:rsidP="00D35E65">
            <w:pPr>
              <w:widowControl/>
              <w:spacing w:before="240" w:after="120"/>
              <w:ind w:left="57" w:right="57"/>
              <w:jc w:val="both"/>
              <w:rPr>
                <w:rFonts w:asciiTheme="majorHAnsi" w:eastAsia="Times New Roman" w:hAnsiTheme="majorHAnsi" w:cs="Times New Roman"/>
                <w:sz w:val="20"/>
                <w:szCs w:val="20"/>
                <w:lang w:val="sr-Latn-CS"/>
              </w:rPr>
            </w:pPr>
            <w:r w:rsidRPr="00374C95">
              <w:rPr>
                <w:rFonts w:asciiTheme="majorHAnsi" w:eastAsia="Times New Roman" w:hAnsiTheme="majorHAnsi" w:cs="Times New Roman"/>
                <w:sz w:val="20"/>
                <w:szCs w:val="20"/>
                <w:lang w:val="sr-Latn-CS"/>
              </w:rPr>
              <w:t>Obraćamo Vam se sa molbom da nam dostavite dodatne informacije u vezi konkursne dokumentacije broj 140-404-93/2017-02-P2 za javnu nabavku br. JN OP 11/2017 Usluga monitoringa kvaliteta životne sredine u Autonomnoj pokrajini Vojvodini u 2017. godini, Partija 2: Usluga monitoringa nejonizujućih zračenja - visokofrekventno područje od 04.04.2017. (na dalje: Tender).</w:t>
            </w:r>
          </w:p>
          <w:p w:rsidR="00D35E65" w:rsidRPr="00374C95" w:rsidRDefault="00D35E65" w:rsidP="00D35E65">
            <w:pPr>
              <w:widowControl/>
              <w:spacing w:before="240" w:after="120"/>
              <w:ind w:left="57" w:right="57"/>
              <w:jc w:val="both"/>
              <w:rPr>
                <w:rFonts w:asciiTheme="majorHAnsi" w:eastAsia="Times New Roman" w:hAnsiTheme="majorHAnsi" w:cs="Times New Roman"/>
                <w:sz w:val="20"/>
                <w:szCs w:val="20"/>
                <w:lang w:val="sr-Latn-CS"/>
              </w:rPr>
            </w:pPr>
            <w:r w:rsidRPr="00374C95">
              <w:rPr>
                <w:rFonts w:asciiTheme="majorHAnsi" w:eastAsia="Times New Roman" w:hAnsiTheme="majorHAnsi" w:cs="Times New Roman"/>
                <w:sz w:val="20"/>
                <w:szCs w:val="20"/>
                <w:lang w:val="sr-Latn-CS"/>
              </w:rPr>
              <w:t>1. U Tenderu je u odeljku 4)4)2) DOKAZI O ISPUNjENOSTI DODATNIH USLOVA ZA UČEŠĆE U POSTUPKU JAVNE NABAVKE pod rednim brojem 3 (tehnički kapacitet) navedeno: „Angažovanje ključnih eksperata i tehničkog osoblja“.</w:t>
            </w:r>
          </w:p>
          <w:p w:rsidR="00D35E65" w:rsidRPr="00374C95" w:rsidRDefault="00D35E65" w:rsidP="00D35E65">
            <w:pPr>
              <w:widowControl/>
              <w:spacing w:before="120" w:after="120"/>
              <w:ind w:left="57" w:right="57"/>
              <w:jc w:val="both"/>
              <w:rPr>
                <w:rFonts w:asciiTheme="majorHAnsi" w:eastAsia="Times New Roman" w:hAnsiTheme="majorHAnsi" w:cs="Times New Roman"/>
                <w:b/>
                <w:sz w:val="20"/>
                <w:szCs w:val="20"/>
                <w:lang w:val="sr-Latn-CS"/>
              </w:rPr>
            </w:pPr>
            <w:r w:rsidRPr="00374C95">
              <w:rPr>
                <w:rFonts w:asciiTheme="majorHAnsi" w:eastAsia="Times New Roman" w:hAnsiTheme="majorHAnsi" w:cs="Times New Roman"/>
                <w:b/>
                <w:sz w:val="20"/>
                <w:szCs w:val="20"/>
                <w:lang w:val="sr-Latn-CS"/>
              </w:rPr>
              <w:t>Pitanje: Kako evidentirati i dokazati ispunjenje ovog zahteva, jer nije jasno da li je u pitanju izjava kao sastavni deo Tehničkog predloga ili neki poseban dokument?</w:t>
            </w:r>
          </w:p>
          <w:p w:rsidR="00D35E65" w:rsidRPr="00374C95" w:rsidRDefault="00D35E65" w:rsidP="00D35E65">
            <w:pPr>
              <w:widowControl/>
              <w:spacing w:before="240" w:after="120"/>
              <w:ind w:left="57" w:right="57"/>
              <w:jc w:val="both"/>
              <w:rPr>
                <w:rFonts w:asciiTheme="majorHAnsi" w:eastAsia="Times New Roman" w:hAnsiTheme="majorHAnsi" w:cs="Times New Roman"/>
                <w:sz w:val="20"/>
                <w:szCs w:val="20"/>
                <w:lang w:val="sr-Latn-CS"/>
              </w:rPr>
            </w:pPr>
            <w:r w:rsidRPr="00374C95">
              <w:rPr>
                <w:rFonts w:asciiTheme="majorHAnsi" w:eastAsia="Times New Roman" w:hAnsiTheme="majorHAnsi" w:cs="Times New Roman"/>
                <w:sz w:val="20"/>
                <w:szCs w:val="20"/>
                <w:lang w:val="sr-Latn-CS"/>
              </w:rPr>
              <w:t>2. U Tenderu u tabeli „Tabela 1 – Merenje nivoa nejonizujućih zračenja u životnoj sredini, koja potiču od izvora nejonizujućih zračenja, u zonama povećane osetljivosti“ u koloni „Broj merenja“ stoji oznaka „*“ koja nije objašnjena. Iz naše ranije prepiske zaključujemo da se radi o Širokopojasnom merenje u opsegu frekvencija od 5 Hz do 10 kHz i Uskopojasnom merenju na 5 frekvencija: 50, 100, 150, 250 i 350 Hz.</w:t>
            </w:r>
          </w:p>
          <w:p w:rsidR="00D35E65" w:rsidRPr="00374C95" w:rsidRDefault="00D35E65" w:rsidP="00D35E65">
            <w:pPr>
              <w:widowControl/>
              <w:spacing w:before="120" w:after="120"/>
              <w:ind w:left="57" w:right="57"/>
              <w:jc w:val="both"/>
              <w:rPr>
                <w:rFonts w:asciiTheme="majorHAnsi" w:eastAsia="Times New Roman" w:hAnsiTheme="majorHAnsi" w:cs="Times New Roman"/>
                <w:b/>
                <w:sz w:val="20"/>
                <w:szCs w:val="20"/>
                <w:lang w:val="sr-Latn-CS"/>
              </w:rPr>
            </w:pPr>
            <w:r w:rsidRPr="00374C95">
              <w:rPr>
                <w:rFonts w:asciiTheme="majorHAnsi" w:eastAsia="Times New Roman" w:hAnsiTheme="majorHAnsi" w:cs="Times New Roman"/>
                <w:b/>
                <w:sz w:val="20"/>
                <w:szCs w:val="20"/>
                <w:lang w:val="sr-Latn-CS"/>
              </w:rPr>
              <w:lastRenderedPageBreak/>
              <w:t>Pitanje: Da li je ova naša pretpostavka tačna?</w:t>
            </w:r>
          </w:p>
          <w:p w:rsidR="00D35E65" w:rsidRPr="00374C95" w:rsidRDefault="00D35E65" w:rsidP="00D35E65">
            <w:pPr>
              <w:widowControl/>
              <w:spacing w:before="240" w:after="120"/>
              <w:ind w:left="57" w:right="57"/>
              <w:jc w:val="both"/>
              <w:rPr>
                <w:rFonts w:asciiTheme="majorHAnsi" w:eastAsia="Times New Roman" w:hAnsiTheme="majorHAnsi" w:cs="Times New Roman"/>
                <w:sz w:val="20"/>
                <w:szCs w:val="20"/>
                <w:lang w:val="sr-Latn-CS"/>
              </w:rPr>
            </w:pPr>
            <w:r w:rsidRPr="00374C95">
              <w:rPr>
                <w:rFonts w:asciiTheme="majorHAnsi" w:eastAsia="Times New Roman" w:hAnsiTheme="majorHAnsi" w:cs="Times New Roman"/>
                <w:sz w:val="20"/>
                <w:szCs w:val="20"/>
                <w:lang w:val="sr-Latn-CS"/>
              </w:rPr>
              <w:t xml:space="preserve">3. U Tenderu se zahteva merenje samo trenutnih vrednosti električnog polja, bilo da je ono širokopojasno ili uskopojasno po frekvencijama operatora. </w:t>
            </w:r>
          </w:p>
          <w:p w:rsidR="00D35E65" w:rsidRPr="00374C95" w:rsidRDefault="00D35E65" w:rsidP="00D35E65">
            <w:pPr>
              <w:widowControl/>
              <w:spacing w:before="120" w:after="120"/>
              <w:ind w:left="57" w:right="57"/>
              <w:jc w:val="both"/>
              <w:rPr>
                <w:rFonts w:asciiTheme="majorHAnsi" w:eastAsia="Times New Roman" w:hAnsiTheme="majorHAnsi" w:cs="Times New Roman"/>
                <w:sz w:val="20"/>
                <w:szCs w:val="20"/>
                <w:lang w:val="sr-Latn-CS"/>
              </w:rPr>
            </w:pPr>
            <w:r w:rsidRPr="00374C95">
              <w:rPr>
                <w:rFonts w:asciiTheme="majorHAnsi" w:eastAsia="Times New Roman" w:hAnsiTheme="majorHAnsi" w:cs="Times New Roman"/>
                <w:sz w:val="20"/>
                <w:szCs w:val="20"/>
                <w:lang w:val="sr-Latn-CS"/>
              </w:rPr>
              <w:t xml:space="preserve">Budući da je elektromagnetno polje koje potiče od baznih stanica vremenski promenljivo, rezultati takvog ispitivanja ne mogu da ispune osnovni zahtev Tendera, da se omogući najbolja ocena nivoa EMZ i uticaja na stanovništvo i životnu sredinu tako da se kvalitativno i kvantitativno prikaže uticaj postojećeg nivoa EMZ poređenjem dobijenih rezultata sa Pravilnikom o granicama izlaganja nejonizujućim zračenjima („Sl. glasnik RS“, br. 104/2009). </w:t>
            </w:r>
          </w:p>
          <w:p w:rsidR="00D35E65" w:rsidRPr="00374C95" w:rsidRDefault="00D35E65" w:rsidP="00D35E65">
            <w:pPr>
              <w:widowControl/>
              <w:spacing w:before="120" w:after="120"/>
              <w:ind w:left="57" w:right="57"/>
              <w:jc w:val="both"/>
              <w:rPr>
                <w:rFonts w:asciiTheme="majorHAnsi" w:eastAsia="Times New Roman" w:hAnsiTheme="majorHAnsi" w:cs="Times New Roman"/>
                <w:sz w:val="20"/>
                <w:szCs w:val="20"/>
                <w:lang w:val="sr-Latn-CS"/>
              </w:rPr>
            </w:pPr>
            <w:r w:rsidRPr="00374C95">
              <w:rPr>
                <w:rFonts w:asciiTheme="majorHAnsi" w:eastAsia="Times New Roman" w:hAnsiTheme="majorHAnsi" w:cs="Times New Roman"/>
                <w:sz w:val="20"/>
                <w:szCs w:val="20"/>
                <w:lang w:val="sr-Latn-CS"/>
              </w:rPr>
              <w:t xml:space="preserve">Prema dosadašnjoj praksi naše Laboratorije, potvrđenoj od strane Akreditacionog tela Srbije,  granične vrednosti iz pomenutog Pravilnika treba upoređivati sa ekstrapoliranim, maksimalno mogućim vrednostima koje bi se dobile pri maksimalnom opterećenju bazne stanice. Ove ekstrapolirane vrednosti se, shodno Standardu SRPS EN 50492:2010/A1:2014 Osnovni standard za merenje jačine elektromagnetskog polja na licu mesta u odnosu na izlaganje ljudi u blizini baznih stanica, dobijaju merenjem vrednosti kontrolnih kanala aktivnih radio-sistema bazne stanice. </w:t>
            </w:r>
          </w:p>
          <w:p w:rsidR="00D35E65" w:rsidRPr="00374C95" w:rsidRDefault="00D35E65" w:rsidP="00D35E65">
            <w:pPr>
              <w:widowControl/>
              <w:spacing w:before="120" w:after="120"/>
              <w:ind w:left="57" w:right="57"/>
              <w:jc w:val="both"/>
              <w:rPr>
                <w:rFonts w:asciiTheme="majorHAnsi" w:eastAsia="Times New Roman" w:hAnsiTheme="majorHAnsi" w:cs="Times New Roman"/>
                <w:b/>
                <w:sz w:val="20"/>
                <w:szCs w:val="20"/>
                <w:lang w:val="sr-Latn-CS"/>
              </w:rPr>
            </w:pPr>
            <w:r w:rsidRPr="00374C95">
              <w:rPr>
                <w:rFonts w:asciiTheme="majorHAnsi" w:eastAsia="Times New Roman" w:hAnsiTheme="majorHAnsi" w:cs="Times New Roman"/>
                <w:b/>
                <w:sz w:val="20"/>
                <w:szCs w:val="20"/>
                <w:lang w:val="sr-Latn-CS"/>
              </w:rPr>
              <w:t>Pitanje: Da li se Tenderom podrazumeva merenje kontrolnih kanala baznih stanica?</w:t>
            </w:r>
            <w:r w:rsidRPr="00374C95">
              <w:rPr>
                <w:rFonts w:asciiTheme="majorHAnsi" w:eastAsia="Times New Roman" w:hAnsiTheme="majorHAnsi" w:cs="Times New Roman"/>
                <w:sz w:val="20"/>
                <w:szCs w:val="20"/>
                <w:lang w:val="sr-Latn-CS"/>
              </w:rPr>
              <w:t xml:space="preserve"> </w:t>
            </w:r>
          </w:p>
        </w:tc>
      </w:tr>
    </w:tbl>
    <w:p w:rsidR="008E76F4" w:rsidRPr="00D35E65" w:rsidRDefault="008E76F4" w:rsidP="003C6368">
      <w:pPr>
        <w:jc w:val="both"/>
        <w:rPr>
          <w:color w:val="FF0000"/>
          <w:sz w:val="20"/>
          <w:szCs w:val="20"/>
          <w:lang w:val="sr-Latn-RS"/>
        </w:rPr>
      </w:pPr>
    </w:p>
    <w:p w:rsidR="008E76F4" w:rsidRPr="0013512B" w:rsidRDefault="008E76F4" w:rsidP="003C6368">
      <w:pPr>
        <w:pStyle w:val="Default"/>
        <w:jc w:val="both"/>
        <w:rPr>
          <w:rFonts w:asciiTheme="minorHAnsi" w:hAnsiTheme="minorHAnsi"/>
          <w:color w:val="auto"/>
          <w:sz w:val="20"/>
          <w:szCs w:val="20"/>
          <w:u w:val="single"/>
          <w:lang w:val="sr-Cyrl-RS"/>
        </w:rPr>
      </w:pPr>
      <w:r w:rsidRPr="0013512B">
        <w:rPr>
          <w:rFonts w:asciiTheme="minorHAnsi" w:hAnsiTheme="minorHAnsi"/>
          <w:color w:val="auto"/>
          <w:sz w:val="20"/>
          <w:szCs w:val="20"/>
          <w:u w:val="single"/>
          <w:lang w:val="sr-Cyrl-RS"/>
        </w:rPr>
        <w:t xml:space="preserve">На основу члана 63. став 3. Закона о јавним набавкама </w:t>
      </w:r>
      <w:r w:rsidRPr="0013512B">
        <w:rPr>
          <w:rFonts w:asciiTheme="minorHAnsi" w:eastAsia="Verdana" w:hAnsiTheme="minorHAnsi" w:cs="Verdana"/>
          <w:color w:val="auto"/>
          <w:sz w:val="20"/>
          <w:szCs w:val="20"/>
          <w:u w:val="single"/>
          <w:lang w:val="sr-Cyrl-RS"/>
        </w:rPr>
        <w:t>(</w:t>
      </w:r>
      <w:r w:rsidRPr="0013512B">
        <w:rPr>
          <w:rFonts w:asciiTheme="minorHAnsi" w:hAnsiTheme="minorHAnsi"/>
          <w:color w:val="auto"/>
          <w:spacing w:val="2"/>
          <w:sz w:val="20"/>
          <w:szCs w:val="20"/>
          <w:u w:val="single"/>
        </w:rPr>
        <w:t>„</w:t>
      </w:r>
      <w:proofErr w:type="spellStart"/>
      <w:r w:rsidRPr="0013512B">
        <w:rPr>
          <w:rFonts w:asciiTheme="minorHAnsi" w:hAnsiTheme="minorHAnsi"/>
          <w:color w:val="auto"/>
          <w:sz w:val="20"/>
          <w:szCs w:val="20"/>
          <w:u w:val="single"/>
        </w:rPr>
        <w:t>С</w:t>
      </w:r>
      <w:r w:rsidRPr="0013512B">
        <w:rPr>
          <w:rFonts w:asciiTheme="minorHAnsi" w:hAnsiTheme="minorHAnsi"/>
          <w:color w:val="auto"/>
          <w:spacing w:val="1"/>
          <w:sz w:val="20"/>
          <w:szCs w:val="20"/>
          <w:u w:val="single"/>
        </w:rPr>
        <w:t>л</w:t>
      </w:r>
      <w:r w:rsidRPr="0013512B">
        <w:rPr>
          <w:rFonts w:asciiTheme="minorHAnsi" w:hAnsiTheme="minorHAnsi"/>
          <w:color w:val="auto"/>
          <w:sz w:val="20"/>
          <w:szCs w:val="20"/>
          <w:u w:val="single"/>
        </w:rPr>
        <w:t>у</w:t>
      </w:r>
      <w:r w:rsidRPr="0013512B">
        <w:rPr>
          <w:rFonts w:asciiTheme="minorHAnsi" w:hAnsiTheme="minorHAnsi"/>
          <w:color w:val="auto"/>
          <w:spacing w:val="-1"/>
          <w:sz w:val="20"/>
          <w:szCs w:val="20"/>
          <w:u w:val="single"/>
        </w:rPr>
        <w:t>ж</w:t>
      </w:r>
      <w:r w:rsidRPr="0013512B">
        <w:rPr>
          <w:rFonts w:asciiTheme="minorHAnsi" w:hAnsiTheme="minorHAnsi"/>
          <w:color w:val="auto"/>
          <w:spacing w:val="2"/>
          <w:sz w:val="20"/>
          <w:szCs w:val="20"/>
          <w:u w:val="single"/>
        </w:rPr>
        <w:t>б</w:t>
      </w:r>
      <w:r w:rsidRPr="0013512B">
        <w:rPr>
          <w:rFonts w:asciiTheme="minorHAnsi" w:hAnsiTheme="minorHAnsi"/>
          <w:color w:val="auto"/>
          <w:spacing w:val="-2"/>
          <w:sz w:val="20"/>
          <w:szCs w:val="20"/>
          <w:u w:val="single"/>
        </w:rPr>
        <w:t>е</w:t>
      </w:r>
      <w:r w:rsidRPr="0013512B">
        <w:rPr>
          <w:rFonts w:asciiTheme="minorHAnsi" w:hAnsiTheme="minorHAnsi"/>
          <w:color w:val="auto"/>
          <w:spacing w:val="2"/>
          <w:sz w:val="20"/>
          <w:szCs w:val="20"/>
          <w:u w:val="single"/>
        </w:rPr>
        <w:t>н</w:t>
      </w:r>
      <w:r w:rsidRPr="0013512B">
        <w:rPr>
          <w:rFonts w:asciiTheme="minorHAnsi" w:hAnsiTheme="minorHAnsi"/>
          <w:color w:val="auto"/>
          <w:sz w:val="20"/>
          <w:szCs w:val="20"/>
          <w:u w:val="single"/>
        </w:rPr>
        <w:t>и</w:t>
      </w:r>
      <w:proofErr w:type="spellEnd"/>
      <w:r w:rsidRPr="0013512B">
        <w:rPr>
          <w:rFonts w:asciiTheme="minorHAnsi" w:hAnsiTheme="minorHAnsi"/>
          <w:color w:val="auto"/>
          <w:spacing w:val="47"/>
          <w:sz w:val="20"/>
          <w:szCs w:val="20"/>
          <w:u w:val="single"/>
        </w:rPr>
        <w:t xml:space="preserve"> </w:t>
      </w:r>
      <w:proofErr w:type="spellStart"/>
      <w:r w:rsidRPr="0013512B">
        <w:rPr>
          <w:rFonts w:asciiTheme="minorHAnsi" w:hAnsiTheme="minorHAnsi"/>
          <w:color w:val="auto"/>
          <w:sz w:val="20"/>
          <w:szCs w:val="20"/>
          <w:u w:val="single"/>
        </w:rPr>
        <w:t>гл</w:t>
      </w:r>
      <w:r w:rsidRPr="0013512B">
        <w:rPr>
          <w:rFonts w:asciiTheme="minorHAnsi" w:hAnsiTheme="minorHAnsi"/>
          <w:color w:val="auto"/>
          <w:spacing w:val="2"/>
          <w:sz w:val="20"/>
          <w:szCs w:val="20"/>
          <w:u w:val="single"/>
        </w:rPr>
        <w:t>а</w:t>
      </w:r>
      <w:r w:rsidRPr="0013512B">
        <w:rPr>
          <w:rFonts w:asciiTheme="minorHAnsi" w:hAnsiTheme="minorHAnsi"/>
          <w:color w:val="auto"/>
          <w:spacing w:val="-1"/>
          <w:sz w:val="20"/>
          <w:szCs w:val="20"/>
          <w:u w:val="single"/>
        </w:rPr>
        <w:t>с</w:t>
      </w:r>
      <w:r w:rsidRPr="0013512B">
        <w:rPr>
          <w:rFonts w:asciiTheme="minorHAnsi" w:hAnsiTheme="minorHAnsi"/>
          <w:color w:val="auto"/>
          <w:sz w:val="20"/>
          <w:szCs w:val="20"/>
          <w:u w:val="single"/>
        </w:rPr>
        <w:t>ник</w:t>
      </w:r>
      <w:proofErr w:type="spellEnd"/>
      <w:r w:rsidRPr="0013512B">
        <w:rPr>
          <w:rFonts w:asciiTheme="minorHAnsi" w:hAnsiTheme="minorHAnsi"/>
          <w:color w:val="auto"/>
          <w:spacing w:val="49"/>
          <w:sz w:val="20"/>
          <w:szCs w:val="20"/>
          <w:u w:val="single"/>
        </w:rPr>
        <w:t xml:space="preserve"> </w:t>
      </w:r>
      <w:r w:rsidRPr="0013512B">
        <w:rPr>
          <w:rFonts w:asciiTheme="minorHAnsi" w:hAnsiTheme="minorHAnsi"/>
          <w:color w:val="auto"/>
          <w:sz w:val="20"/>
          <w:szCs w:val="20"/>
          <w:u w:val="single"/>
        </w:rPr>
        <w:t>РС</w:t>
      </w:r>
      <w:r w:rsidRPr="0013512B">
        <w:rPr>
          <w:rFonts w:asciiTheme="minorHAnsi" w:hAnsiTheme="minorHAnsi"/>
          <w:color w:val="auto"/>
          <w:spacing w:val="2"/>
          <w:sz w:val="20"/>
          <w:szCs w:val="20"/>
          <w:u w:val="single"/>
        </w:rPr>
        <w:t>“</w:t>
      </w:r>
      <w:r w:rsidRPr="0013512B">
        <w:rPr>
          <w:rFonts w:asciiTheme="minorHAnsi" w:hAnsiTheme="minorHAnsi"/>
          <w:color w:val="auto"/>
          <w:sz w:val="20"/>
          <w:szCs w:val="20"/>
          <w:u w:val="single"/>
        </w:rPr>
        <w:t>,</w:t>
      </w:r>
      <w:r w:rsidRPr="0013512B">
        <w:rPr>
          <w:rFonts w:asciiTheme="minorHAnsi" w:hAnsiTheme="minorHAnsi"/>
          <w:color w:val="auto"/>
          <w:spacing w:val="48"/>
          <w:sz w:val="20"/>
          <w:szCs w:val="20"/>
          <w:u w:val="single"/>
        </w:rPr>
        <w:t xml:space="preserve"> </w:t>
      </w:r>
      <w:proofErr w:type="spellStart"/>
      <w:r w:rsidRPr="0013512B">
        <w:rPr>
          <w:rFonts w:asciiTheme="minorHAnsi" w:hAnsiTheme="minorHAnsi"/>
          <w:color w:val="auto"/>
          <w:sz w:val="20"/>
          <w:szCs w:val="20"/>
          <w:u w:val="single"/>
        </w:rPr>
        <w:t>бр</w:t>
      </w:r>
      <w:proofErr w:type="spellEnd"/>
      <w:r w:rsidRPr="0013512B">
        <w:rPr>
          <w:rFonts w:asciiTheme="minorHAnsi" w:hAnsiTheme="minorHAnsi"/>
          <w:color w:val="auto"/>
          <w:sz w:val="20"/>
          <w:szCs w:val="20"/>
          <w:u w:val="single"/>
        </w:rPr>
        <w:t>.</w:t>
      </w:r>
      <w:r w:rsidRPr="0013512B">
        <w:rPr>
          <w:rFonts w:asciiTheme="minorHAnsi" w:hAnsiTheme="minorHAnsi"/>
          <w:color w:val="auto"/>
          <w:w w:val="99"/>
          <w:sz w:val="20"/>
          <w:szCs w:val="20"/>
          <w:u w:val="single"/>
        </w:rPr>
        <w:t xml:space="preserve"> </w:t>
      </w:r>
      <w:r w:rsidRPr="0013512B">
        <w:rPr>
          <w:rFonts w:asciiTheme="minorHAnsi" w:hAnsiTheme="minorHAnsi" w:cs="Verdana"/>
          <w:color w:val="auto"/>
          <w:sz w:val="20"/>
          <w:szCs w:val="20"/>
          <w:u w:val="single"/>
        </w:rPr>
        <w:t>124/2012,</w:t>
      </w:r>
      <w:r w:rsidRPr="0013512B">
        <w:rPr>
          <w:rFonts w:asciiTheme="minorHAnsi" w:hAnsiTheme="minorHAnsi" w:cs="Verdana"/>
          <w:color w:val="auto"/>
          <w:spacing w:val="33"/>
          <w:sz w:val="20"/>
          <w:szCs w:val="20"/>
          <w:u w:val="single"/>
        </w:rPr>
        <w:t xml:space="preserve"> </w:t>
      </w:r>
      <w:r w:rsidRPr="0013512B">
        <w:rPr>
          <w:rFonts w:asciiTheme="minorHAnsi" w:hAnsiTheme="minorHAnsi" w:cs="Verdana"/>
          <w:color w:val="auto"/>
          <w:sz w:val="20"/>
          <w:szCs w:val="20"/>
          <w:u w:val="single"/>
        </w:rPr>
        <w:t>14/2015</w:t>
      </w:r>
      <w:r w:rsidRPr="0013512B">
        <w:rPr>
          <w:rFonts w:asciiTheme="minorHAnsi" w:hAnsiTheme="minorHAnsi" w:cs="Verdana"/>
          <w:color w:val="auto"/>
          <w:spacing w:val="35"/>
          <w:sz w:val="20"/>
          <w:szCs w:val="20"/>
          <w:u w:val="single"/>
        </w:rPr>
        <w:t xml:space="preserve"> </w:t>
      </w:r>
      <w:r w:rsidRPr="0013512B">
        <w:rPr>
          <w:rFonts w:asciiTheme="minorHAnsi" w:hAnsiTheme="minorHAnsi"/>
          <w:color w:val="auto"/>
          <w:sz w:val="20"/>
          <w:szCs w:val="20"/>
          <w:u w:val="single"/>
        </w:rPr>
        <w:t>И</w:t>
      </w:r>
      <w:r w:rsidRPr="0013512B">
        <w:rPr>
          <w:rFonts w:asciiTheme="minorHAnsi" w:hAnsiTheme="minorHAnsi"/>
          <w:color w:val="auto"/>
          <w:spacing w:val="31"/>
          <w:sz w:val="20"/>
          <w:szCs w:val="20"/>
          <w:u w:val="single"/>
        </w:rPr>
        <w:t xml:space="preserve"> </w:t>
      </w:r>
      <w:r w:rsidRPr="0013512B">
        <w:rPr>
          <w:rFonts w:asciiTheme="minorHAnsi" w:hAnsiTheme="minorHAnsi"/>
          <w:color w:val="auto"/>
          <w:sz w:val="20"/>
          <w:szCs w:val="20"/>
          <w:u w:val="single"/>
        </w:rPr>
        <w:t>68/201</w:t>
      </w:r>
      <w:r w:rsidRPr="0013512B">
        <w:rPr>
          <w:rFonts w:asciiTheme="minorHAnsi" w:hAnsiTheme="minorHAnsi"/>
          <w:color w:val="auto"/>
          <w:spacing w:val="2"/>
          <w:sz w:val="20"/>
          <w:szCs w:val="20"/>
          <w:u w:val="single"/>
        </w:rPr>
        <w:t>5</w:t>
      </w:r>
      <w:r w:rsidRPr="0013512B">
        <w:rPr>
          <w:rFonts w:asciiTheme="minorHAnsi" w:hAnsiTheme="minorHAnsi"/>
          <w:color w:val="auto"/>
          <w:sz w:val="20"/>
          <w:szCs w:val="20"/>
          <w:u w:val="single"/>
        </w:rPr>
        <w:t>)</w:t>
      </w:r>
      <w:r w:rsidRPr="0013512B">
        <w:rPr>
          <w:rFonts w:asciiTheme="minorHAnsi" w:hAnsiTheme="minorHAnsi"/>
          <w:color w:val="auto"/>
          <w:sz w:val="20"/>
          <w:szCs w:val="20"/>
          <w:u w:val="single"/>
          <w:lang w:val="sr-Cyrl-RS"/>
        </w:rPr>
        <w:t>, Наручилац даје додатне информације или појашњења:</w:t>
      </w:r>
    </w:p>
    <w:p w:rsidR="0013512B" w:rsidRPr="0013512B" w:rsidRDefault="0013512B" w:rsidP="003C6368">
      <w:pPr>
        <w:pStyle w:val="Default"/>
        <w:jc w:val="both"/>
        <w:rPr>
          <w:rFonts w:asciiTheme="minorHAnsi" w:hAnsiTheme="minorHAnsi"/>
          <w:b/>
          <w:bCs/>
          <w:color w:val="auto"/>
          <w:sz w:val="20"/>
          <w:szCs w:val="20"/>
          <w:lang w:val="sr-Cyrl-RS"/>
        </w:rPr>
      </w:pPr>
    </w:p>
    <w:p w:rsidR="0013512B" w:rsidRPr="00EB769E" w:rsidRDefault="0013512B" w:rsidP="0013512B">
      <w:pPr>
        <w:tabs>
          <w:tab w:val="left" w:pos="260"/>
        </w:tabs>
        <w:jc w:val="both"/>
        <w:rPr>
          <w:sz w:val="20"/>
          <w:szCs w:val="20"/>
          <w:lang w:val="sr-Cyrl-RS"/>
        </w:rPr>
      </w:pPr>
      <w:r w:rsidRPr="00EB769E">
        <w:rPr>
          <w:sz w:val="20"/>
          <w:szCs w:val="20"/>
          <w:lang w:val="sr-Cyrl-RS"/>
        </w:rPr>
        <w:t xml:space="preserve">1) </w:t>
      </w:r>
      <w:r w:rsidR="00FF2E20" w:rsidRPr="00EB769E">
        <w:rPr>
          <w:sz w:val="20"/>
          <w:szCs w:val="20"/>
          <w:lang w:val="sr-Cyrl-RS"/>
        </w:rPr>
        <w:t>Доказ за ангажовање кључног техничког особ</w:t>
      </w:r>
      <w:r w:rsidRPr="00EB769E">
        <w:rPr>
          <w:sz w:val="20"/>
          <w:szCs w:val="20"/>
          <w:lang w:val="sr-Cyrl-RS"/>
        </w:rPr>
        <w:t>љ</w:t>
      </w:r>
      <w:r w:rsidR="00FF2E20" w:rsidRPr="00EB769E">
        <w:rPr>
          <w:sz w:val="20"/>
          <w:szCs w:val="20"/>
          <w:lang w:val="sr-Cyrl-RS"/>
        </w:rPr>
        <w:t>а и експерата је поп</w:t>
      </w:r>
      <w:r w:rsidRPr="00EB769E">
        <w:rPr>
          <w:sz w:val="20"/>
          <w:szCs w:val="20"/>
          <w:lang w:val="sr-Cyrl-RS"/>
        </w:rPr>
        <w:t>у</w:t>
      </w:r>
      <w:r w:rsidR="00FF2E20" w:rsidRPr="00EB769E">
        <w:rPr>
          <w:sz w:val="20"/>
          <w:szCs w:val="20"/>
          <w:lang w:val="sr-Cyrl-RS"/>
        </w:rPr>
        <w:t xml:space="preserve">њен, потписан и оверен </w:t>
      </w:r>
      <w:r w:rsidRPr="00EB769E">
        <w:rPr>
          <w:sz w:val="20"/>
          <w:szCs w:val="20"/>
          <w:lang w:val="sr-Cyrl-RS"/>
        </w:rPr>
        <w:t>од стране овлашћеног лица понуђача,  образац 9)5) ОБРАЗАЦ – КАДРОВСКА ОПРЕМЉЕНОСТ ЗА ЈАВНУ НАБАВКУ УСЛУГА МОНИТОРИНГА КВАЛИТЕТА ЖИВОТНЕ СРЕДИНЕ У АУТОНОМНОЈ ПОКРАЈИНИ ВОЈВОДИНИ У 2017. ГОДИНИ, ОБЛИКОВАНУ ПО ПАРТИЈАМА ОД 1 ДО 4 И ТО ЗА ПАРТИЈУ 2 – УСЛУГА МОНИТОРИНГА НЕЈОНИЗУЈУЋИХ ЗРАЧЕЊА – ВИСОКОФРЕКВЕНТНО ПОДРУЧЈЕ, на страни 63/66 Конкурсне документације.</w:t>
      </w:r>
    </w:p>
    <w:p w:rsidR="0013512B" w:rsidRDefault="0013512B" w:rsidP="0013512B">
      <w:pPr>
        <w:tabs>
          <w:tab w:val="left" w:pos="260"/>
        </w:tabs>
        <w:jc w:val="both"/>
        <w:rPr>
          <w:color w:val="FF0000"/>
          <w:sz w:val="20"/>
          <w:szCs w:val="20"/>
          <w:lang w:val="sr-Cyrl-RS"/>
        </w:rPr>
      </w:pPr>
    </w:p>
    <w:p w:rsidR="000550E7" w:rsidRDefault="0013512B" w:rsidP="000550E7">
      <w:pPr>
        <w:tabs>
          <w:tab w:val="left" w:pos="260"/>
        </w:tabs>
        <w:jc w:val="both"/>
      </w:pPr>
      <w:r w:rsidRPr="00A6542C">
        <w:rPr>
          <w:sz w:val="20"/>
          <w:szCs w:val="20"/>
          <w:lang w:val="sr-Cyrl-RS"/>
        </w:rPr>
        <w:t>2)</w:t>
      </w:r>
      <w:r>
        <w:rPr>
          <w:color w:val="FF0000"/>
          <w:sz w:val="20"/>
          <w:szCs w:val="20"/>
          <w:lang w:val="sr-Cyrl-RS"/>
        </w:rPr>
        <w:t xml:space="preserve"> </w:t>
      </w:r>
      <w:r w:rsidR="000550E7">
        <w:rPr>
          <w:lang w:val="sr-Cyrl-RS"/>
        </w:rPr>
        <w:t>У јавној набавци бр. ЈН ОП 11/2017 Јавна</w:t>
      </w:r>
      <w:r w:rsidR="000550E7">
        <w:rPr>
          <w:color w:val="365F91"/>
        </w:rPr>
        <w:t xml:space="preserve"> </w:t>
      </w:r>
      <w:r w:rsidR="000550E7" w:rsidRPr="00D534EF">
        <w:rPr>
          <w:lang w:val="sr-Cyrl-RS"/>
        </w:rPr>
        <w:t>набавка услуга мониторинга квалитета животне средине у А</w:t>
      </w:r>
      <w:r w:rsidR="000550E7">
        <w:rPr>
          <w:lang w:val="sr-Cyrl-RS"/>
        </w:rPr>
        <w:t>утономној покрајини Војводини</w:t>
      </w:r>
      <w:r w:rsidR="000550E7" w:rsidRPr="00D534EF">
        <w:rPr>
          <w:lang w:val="sr-Cyrl-RS"/>
        </w:rPr>
        <w:t xml:space="preserve"> у 2017. </w:t>
      </w:r>
      <w:r w:rsidR="00374C95">
        <w:rPr>
          <w:lang w:val="sr-Cyrl-RS"/>
        </w:rPr>
        <w:t>г</w:t>
      </w:r>
      <w:r w:rsidR="000550E7" w:rsidRPr="00D534EF">
        <w:rPr>
          <w:lang w:val="sr-Cyrl-RS"/>
        </w:rPr>
        <w:t>одини</w:t>
      </w:r>
      <w:r w:rsidR="000550E7">
        <w:rPr>
          <w:lang w:val="sr-Cyrl-RS"/>
        </w:rPr>
        <w:t xml:space="preserve">, у Партији 2 - </w:t>
      </w:r>
      <w:r w:rsidR="000550E7" w:rsidRPr="00D534EF">
        <w:rPr>
          <w:lang w:val="sr-Cyrl-RS"/>
        </w:rPr>
        <w:t>Услуга мониторинга нејонизујућих зрачења – високофреквентно подручје отворени поступак, у табели:</w:t>
      </w:r>
      <w:r w:rsidR="000550E7">
        <w:rPr>
          <w:color w:val="365F91"/>
          <w:lang w:val="sr-Cyrl-RS"/>
        </w:rPr>
        <w:t xml:space="preserve"> </w:t>
      </w:r>
      <w:r w:rsidR="000550E7">
        <w:t xml:space="preserve"> „</w:t>
      </w:r>
      <w:proofErr w:type="spellStart"/>
      <w:r w:rsidR="000550E7">
        <w:t>Табели</w:t>
      </w:r>
      <w:proofErr w:type="spellEnd"/>
      <w:r w:rsidR="000550E7">
        <w:t xml:space="preserve"> 1 – </w:t>
      </w:r>
      <w:proofErr w:type="spellStart"/>
      <w:r w:rsidR="000550E7">
        <w:t>Мерење</w:t>
      </w:r>
      <w:proofErr w:type="spellEnd"/>
      <w:r w:rsidR="000550E7">
        <w:t xml:space="preserve"> </w:t>
      </w:r>
      <w:proofErr w:type="spellStart"/>
      <w:r w:rsidR="000550E7">
        <w:t>нивоа</w:t>
      </w:r>
      <w:proofErr w:type="spellEnd"/>
      <w:r w:rsidR="000550E7">
        <w:t xml:space="preserve"> </w:t>
      </w:r>
      <w:proofErr w:type="spellStart"/>
      <w:r w:rsidR="000550E7">
        <w:t>нејонизујућих</w:t>
      </w:r>
      <w:proofErr w:type="spellEnd"/>
      <w:r w:rsidR="000550E7">
        <w:t xml:space="preserve"> </w:t>
      </w:r>
      <w:proofErr w:type="spellStart"/>
      <w:r w:rsidR="000550E7">
        <w:t>зрачења</w:t>
      </w:r>
      <w:proofErr w:type="spellEnd"/>
      <w:r w:rsidR="000550E7">
        <w:t xml:space="preserve"> у </w:t>
      </w:r>
      <w:proofErr w:type="spellStart"/>
      <w:r w:rsidR="000550E7">
        <w:t>животној</w:t>
      </w:r>
      <w:proofErr w:type="spellEnd"/>
      <w:r w:rsidR="000550E7">
        <w:t xml:space="preserve"> </w:t>
      </w:r>
      <w:proofErr w:type="spellStart"/>
      <w:r w:rsidR="000550E7">
        <w:t>средини</w:t>
      </w:r>
      <w:proofErr w:type="spellEnd"/>
      <w:r w:rsidR="000550E7">
        <w:t xml:space="preserve">, </w:t>
      </w:r>
      <w:proofErr w:type="spellStart"/>
      <w:r w:rsidR="000550E7">
        <w:t>која</w:t>
      </w:r>
      <w:proofErr w:type="spellEnd"/>
      <w:r w:rsidR="000550E7">
        <w:t xml:space="preserve"> </w:t>
      </w:r>
      <w:proofErr w:type="spellStart"/>
      <w:r w:rsidR="000550E7">
        <w:t>потичу</w:t>
      </w:r>
      <w:proofErr w:type="spellEnd"/>
      <w:r w:rsidR="000550E7">
        <w:t xml:space="preserve"> </w:t>
      </w:r>
      <w:proofErr w:type="spellStart"/>
      <w:r w:rsidR="000550E7">
        <w:t>од</w:t>
      </w:r>
      <w:proofErr w:type="spellEnd"/>
      <w:r w:rsidR="000550E7">
        <w:t xml:space="preserve"> </w:t>
      </w:r>
      <w:proofErr w:type="spellStart"/>
      <w:r w:rsidR="000550E7">
        <w:t>извора</w:t>
      </w:r>
      <w:proofErr w:type="spellEnd"/>
      <w:r w:rsidR="000550E7">
        <w:t xml:space="preserve"> </w:t>
      </w:r>
      <w:proofErr w:type="spellStart"/>
      <w:r w:rsidR="000550E7">
        <w:t>нејонизујућих</w:t>
      </w:r>
      <w:proofErr w:type="spellEnd"/>
      <w:r w:rsidR="000550E7">
        <w:t xml:space="preserve"> </w:t>
      </w:r>
      <w:proofErr w:type="spellStart"/>
      <w:r w:rsidR="000550E7">
        <w:t>зрачења</w:t>
      </w:r>
      <w:proofErr w:type="spellEnd"/>
      <w:r w:rsidR="000550E7">
        <w:t xml:space="preserve">, у </w:t>
      </w:r>
      <w:proofErr w:type="spellStart"/>
      <w:r w:rsidR="000550E7">
        <w:t>зонама</w:t>
      </w:r>
      <w:proofErr w:type="spellEnd"/>
      <w:r w:rsidR="000550E7">
        <w:t xml:space="preserve"> </w:t>
      </w:r>
      <w:proofErr w:type="spellStart"/>
      <w:r w:rsidR="000550E7">
        <w:t>повећане</w:t>
      </w:r>
      <w:proofErr w:type="spellEnd"/>
      <w:r w:rsidR="000550E7">
        <w:t xml:space="preserve"> </w:t>
      </w:r>
      <w:proofErr w:type="spellStart"/>
      <w:r w:rsidR="000550E7">
        <w:t>осетљивости</w:t>
      </w:r>
      <w:proofErr w:type="spellEnd"/>
      <w:r w:rsidR="000550E7">
        <w:t xml:space="preserve">“, </w:t>
      </w:r>
      <w:proofErr w:type="spellStart"/>
      <w:r w:rsidR="000550E7">
        <w:t>ознака</w:t>
      </w:r>
      <w:proofErr w:type="spellEnd"/>
      <w:r w:rsidR="000550E7">
        <w:t xml:space="preserve"> * (</w:t>
      </w:r>
      <w:proofErr w:type="spellStart"/>
      <w:r w:rsidR="000550E7">
        <w:t>звездица</w:t>
      </w:r>
      <w:proofErr w:type="spellEnd"/>
      <w:r w:rsidR="000550E7">
        <w:t xml:space="preserve"> - </w:t>
      </w:r>
      <w:proofErr w:type="spellStart"/>
      <w:r w:rsidR="000550E7">
        <w:t>астерикс</w:t>
      </w:r>
      <w:proofErr w:type="spellEnd"/>
      <w:r w:rsidR="000550E7">
        <w:t xml:space="preserve">) у </w:t>
      </w:r>
      <w:proofErr w:type="spellStart"/>
      <w:r w:rsidR="000550E7">
        <w:t>колони</w:t>
      </w:r>
      <w:proofErr w:type="spellEnd"/>
      <w:r w:rsidR="000550E7">
        <w:t xml:space="preserve"> „</w:t>
      </w:r>
      <w:proofErr w:type="spellStart"/>
      <w:r w:rsidR="000550E7">
        <w:t>Број</w:t>
      </w:r>
      <w:proofErr w:type="spellEnd"/>
      <w:r w:rsidR="000550E7">
        <w:t xml:space="preserve"> </w:t>
      </w:r>
      <w:proofErr w:type="spellStart"/>
      <w:r w:rsidR="000550E7">
        <w:t>мерења</w:t>
      </w:r>
      <w:proofErr w:type="spellEnd"/>
      <w:r w:rsidR="000550E7">
        <w:t xml:space="preserve">“ </w:t>
      </w:r>
      <w:proofErr w:type="spellStart"/>
      <w:r w:rsidR="000550E7">
        <w:t>односи</w:t>
      </w:r>
      <w:proofErr w:type="spellEnd"/>
      <w:r w:rsidR="000550E7">
        <w:t xml:space="preserve"> </w:t>
      </w:r>
      <w:proofErr w:type="spellStart"/>
      <w:r w:rsidR="000550E7">
        <w:t>се</w:t>
      </w:r>
      <w:proofErr w:type="spellEnd"/>
      <w:r w:rsidR="000550E7">
        <w:t xml:space="preserve"> </w:t>
      </w:r>
      <w:proofErr w:type="spellStart"/>
      <w:r w:rsidR="000550E7">
        <w:t>на</w:t>
      </w:r>
      <w:proofErr w:type="spellEnd"/>
      <w:r w:rsidR="000550E7">
        <w:t xml:space="preserve"> </w:t>
      </w:r>
      <w:proofErr w:type="spellStart"/>
      <w:r w:rsidR="000550E7">
        <w:t>једно</w:t>
      </w:r>
      <w:proofErr w:type="spellEnd"/>
      <w:r w:rsidR="000550E7">
        <w:t xml:space="preserve"> </w:t>
      </w:r>
      <w:proofErr w:type="spellStart"/>
      <w:r w:rsidR="000550E7">
        <w:t>мерење</w:t>
      </w:r>
      <w:proofErr w:type="spellEnd"/>
      <w:r w:rsidR="000550E7">
        <w:t xml:space="preserve"> у </w:t>
      </w:r>
      <w:proofErr w:type="spellStart"/>
      <w:r w:rsidR="000550E7">
        <w:t>широкопојасном</w:t>
      </w:r>
      <w:proofErr w:type="spellEnd"/>
      <w:r w:rsidR="000550E7">
        <w:t xml:space="preserve"> </w:t>
      </w:r>
      <w:proofErr w:type="spellStart"/>
      <w:r w:rsidR="000550E7">
        <w:t>подручју</w:t>
      </w:r>
      <w:proofErr w:type="spellEnd"/>
      <w:r w:rsidR="000550E7">
        <w:t xml:space="preserve"> (10kHz </w:t>
      </w:r>
      <w:proofErr w:type="spellStart"/>
      <w:r w:rsidR="000550E7">
        <w:t>до</w:t>
      </w:r>
      <w:proofErr w:type="spellEnd"/>
      <w:r w:rsidR="000550E7">
        <w:t xml:space="preserve"> 3 GHz) и </w:t>
      </w:r>
      <w:proofErr w:type="spellStart"/>
      <w:r w:rsidR="000550E7">
        <w:t>на</w:t>
      </w:r>
      <w:proofErr w:type="spellEnd"/>
      <w:r w:rsidR="000550E7">
        <w:t xml:space="preserve"> </w:t>
      </w:r>
      <w:proofErr w:type="spellStart"/>
      <w:r w:rsidR="000550E7">
        <w:t>једно</w:t>
      </w:r>
      <w:proofErr w:type="spellEnd"/>
      <w:r w:rsidR="000550E7">
        <w:rPr>
          <w:lang w:val="sr-Cyrl-RS"/>
        </w:rPr>
        <w:t xml:space="preserve"> </w:t>
      </w:r>
      <w:proofErr w:type="spellStart"/>
      <w:r w:rsidR="000550E7">
        <w:t>ускопојасно</w:t>
      </w:r>
      <w:proofErr w:type="spellEnd"/>
      <w:r w:rsidR="000550E7">
        <w:t xml:space="preserve"> </w:t>
      </w:r>
      <w:proofErr w:type="spellStart"/>
      <w:r w:rsidR="000550E7">
        <w:t>селективно</w:t>
      </w:r>
      <w:proofErr w:type="spellEnd"/>
      <w:r w:rsidR="000550E7">
        <w:t xml:space="preserve"> </w:t>
      </w:r>
      <w:proofErr w:type="spellStart"/>
      <w:r w:rsidR="000550E7">
        <w:t>мерење</w:t>
      </w:r>
      <w:proofErr w:type="spellEnd"/>
      <w:r w:rsidR="000550E7">
        <w:t xml:space="preserve"> </w:t>
      </w:r>
      <w:proofErr w:type="spellStart"/>
      <w:r w:rsidR="000550E7">
        <w:t>по</w:t>
      </w:r>
      <w:proofErr w:type="spellEnd"/>
      <w:r w:rsidR="000550E7">
        <w:t xml:space="preserve"> </w:t>
      </w:r>
      <w:proofErr w:type="spellStart"/>
      <w:r w:rsidR="000550E7">
        <w:t>фреквенцијама</w:t>
      </w:r>
      <w:proofErr w:type="spellEnd"/>
      <w:r w:rsidR="000550E7">
        <w:t xml:space="preserve"> </w:t>
      </w:r>
      <w:proofErr w:type="spellStart"/>
      <w:r w:rsidR="000550E7">
        <w:t>оп</w:t>
      </w:r>
      <w:proofErr w:type="spellEnd"/>
      <w:r w:rsidR="000550E7">
        <w:rPr>
          <w:lang w:val="sr-Cyrl-RS"/>
        </w:rPr>
        <w:t>ера</w:t>
      </w:r>
      <w:proofErr w:type="spellStart"/>
      <w:r w:rsidR="000550E7">
        <w:t>тера</w:t>
      </w:r>
      <w:proofErr w:type="spellEnd"/>
      <w:r w:rsidR="000550E7">
        <w:t xml:space="preserve"> (</w:t>
      </w:r>
      <w:proofErr w:type="spellStart"/>
      <w:r w:rsidR="000550E7">
        <w:t>спектрална</w:t>
      </w:r>
      <w:proofErr w:type="spellEnd"/>
      <w:r w:rsidR="000550E7">
        <w:t xml:space="preserve"> </w:t>
      </w:r>
      <w:proofErr w:type="spellStart"/>
      <w:r w:rsidR="000550E7">
        <w:t>анализа</w:t>
      </w:r>
      <w:proofErr w:type="spellEnd"/>
      <w:r w:rsidR="000550E7">
        <w:t xml:space="preserve">), а </w:t>
      </w:r>
      <w:proofErr w:type="spellStart"/>
      <w:r w:rsidR="000550E7">
        <w:t>све</w:t>
      </w:r>
      <w:proofErr w:type="spellEnd"/>
      <w:r w:rsidR="000550E7">
        <w:t xml:space="preserve"> у </w:t>
      </w:r>
      <w:proofErr w:type="spellStart"/>
      <w:r w:rsidR="000550E7">
        <w:t>складу</w:t>
      </w:r>
      <w:proofErr w:type="spellEnd"/>
      <w:r w:rsidR="000550E7">
        <w:t xml:space="preserve"> </w:t>
      </w:r>
      <w:proofErr w:type="spellStart"/>
      <w:r w:rsidR="000550E7">
        <w:t>са</w:t>
      </w:r>
      <w:proofErr w:type="spellEnd"/>
      <w:r w:rsidR="000550E7">
        <w:t xml:space="preserve"> </w:t>
      </w:r>
      <w:proofErr w:type="spellStart"/>
      <w:r w:rsidR="000550E7">
        <w:t>методама</w:t>
      </w:r>
      <w:proofErr w:type="spellEnd"/>
      <w:r w:rsidR="000550E7">
        <w:t xml:space="preserve"> </w:t>
      </w:r>
      <w:proofErr w:type="spellStart"/>
      <w:r w:rsidR="000550E7">
        <w:t>мерења</w:t>
      </w:r>
      <w:proofErr w:type="spellEnd"/>
      <w:r w:rsidR="000550E7">
        <w:t xml:space="preserve"> и </w:t>
      </w:r>
      <w:proofErr w:type="spellStart"/>
      <w:r w:rsidR="000550E7">
        <w:t>прорачуна</w:t>
      </w:r>
      <w:proofErr w:type="spellEnd"/>
      <w:r w:rsidR="000550E7">
        <w:t xml:space="preserve"> </w:t>
      </w:r>
      <w:proofErr w:type="spellStart"/>
      <w:r w:rsidR="000550E7">
        <w:t>важећих</w:t>
      </w:r>
      <w:proofErr w:type="spellEnd"/>
      <w:r w:rsidR="000550E7">
        <w:t xml:space="preserve"> </w:t>
      </w:r>
      <w:proofErr w:type="spellStart"/>
      <w:r w:rsidR="000550E7">
        <w:t>домаћих</w:t>
      </w:r>
      <w:proofErr w:type="spellEnd"/>
      <w:r w:rsidR="000550E7">
        <w:t xml:space="preserve"> и </w:t>
      </w:r>
      <w:proofErr w:type="spellStart"/>
      <w:r w:rsidR="000550E7">
        <w:t>међународних</w:t>
      </w:r>
      <w:proofErr w:type="spellEnd"/>
      <w:r w:rsidR="000550E7">
        <w:t xml:space="preserve"> </w:t>
      </w:r>
      <w:proofErr w:type="spellStart"/>
      <w:r w:rsidR="000550E7">
        <w:t>стандарда</w:t>
      </w:r>
      <w:proofErr w:type="spellEnd"/>
      <w:r w:rsidR="000550E7">
        <w:t xml:space="preserve"> CEI IEC 61566, </w:t>
      </w:r>
      <w:proofErr w:type="spellStart"/>
      <w:r w:rsidR="000550E7">
        <w:t>као</w:t>
      </w:r>
      <w:proofErr w:type="spellEnd"/>
      <w:r w:rsidR="000550E7">
        <w:t xml:space="preserve"> и </w:t>
      </w:r>
      <w:proofErr w:type="spellStart"/>
      <w:r w:rsidR="000550E7">
        <w:t>стандарда</w:t>
      </w:r>
      <w:proofErr w:type="spellEnd"/>
      <w:r w:rsidR="000550E7">
        <w:t xml:space="preserve"> о </w:t>
      </w:r>
      <w:proofErr w:type="spellStart"/>
      <w:r w:rsidR="000550E7">
        <w:t>испитивању</w:t>
      </w:r>
      <w:proofErr w:type="spellEnd"/>
      <w:r w:rsidR="000550E7">
        <w:t xml:space="preserve"> </w:t>
      </w:r>
      <w:proofErr w:type="spellStart"/>
      <w:r w:rsidR="000550E7">
        <w:t>утицаја</w:t>
      </w:r>
      <w:proofErr w:type="spellEnd"/>
      <w:r w:rsidR="000550E7">
        <w:t xml:space="preserve"> </w:t>
      </w:r>
      <w:proofErr w:type="spellStart"/>
      <w:r w:rsidR="000550E7">
        <w:t>на</w:t>
      </w:r>
      <w:proofErr w:type="spellEnd"/>
      <w:r w:rsidR="000550E7">
        <w:t xml:space="preserve"> </w:t>
      </w:r>
      <w:proofErr w:type="spellStart"/>
      <w:r w:rsidR="000550E7">
        <w:t>излагање</w:t>
      </w:r>
      <w:proofErr w:type="spellEnd"/>
      <w:r w:rsidR="000550E7">
        <w:t xml:space="preserve"> </w:t>
      </w:r>
      <w:proofErr w:type="spellStart"/>
      <w:r w:rsidR="000550E7">
        <w:t>становништва</w:t>
      </w:r>
      <w:proofErr w:type="spellEnd"/>
      <w:r w:rsidR="000550E7">
        <w:t xml:space="preserve"> </w:t>
      </w:r>
      <w:proofErr w:type="spellStart"/>
      <w:r w:rsidR="000550E7">
        <w:t>нејонизујућим</w:t>
      </w:r>
      <w:proofErr w:type="spellEnd"/>
      <w:r w:rsidR="000550E7">
        <w:t xml:space="preserve"> </w:t>
      </w:r>
      <w:proofErr w:type="spellStart"/>
      <w:r w:rsidR="000550E7">
        <w:t>зрачењима</w:t>
      </w:r>
      <w:proofErr w:type="spellEnd"/>
      <w:r w:rsidR="000550E7">
        <w:t xml:space="preserve"> – CENELEC EN 50413:2008.</w:t>
      </w:r>
    </w:p>
    <w:p w:rsidR="0013512B" w:rsidRDefault="0013512B" w:rsidP="0013512B">
      <w:pPr>
        <w:tabs>
          <w:tab w:val="left" w:pos="260"/>
        </w:tabs>
        <w:rPr>
          <w:color w:val="FF0000"/>
          <w:sz w:val="20"/>
          <w:szCs w:val="20"/>
          <w:lang w:val="sr-Cyrl-RS"/>
        </w:rPr>
      </w:pPr>
    </w:p>
    <w:p w:rsidR="000550E7" w:rsidRDefault="0013512B" w:rsidP="000550E7">
      <w:pPr>
        <w:jc w:val="both"/>
        <w:rPr>
          <w:lang w:val="sr-Cyrl-RS"/>
        </w:rPr>
      </w:pPr>
      <w:r w:rsidRPr="00A6542C">
        <w:rPr>
          <w:sz w:val="20"/>
          <w:szCs w:val="20"/>
          <w:lang w:val="sr-Cyrl-RS"/>
        </w:rPr>
        <w:t>3)</w:t>
      </w:r>
      <w:r w:rsidR="000550E7">
        <w:rPr>
          <w:color w:val="FF0000"/>
          <w:sz w:val="20"/>
          <w:szCs w:val="20"/>
          <w:lang w:val="sr-Cyrl-RS"/>
        </w:rPr>
        <w:t xml:space="preserve"> </w:t>
      </w:r>
      <w:r w:rsidR="000550E7" w:rsidRPr="006B3782">
        <w:rPr>
          <w:lang w:val="sr-Cyrl-RS"/>
        </w:rPr>
        <w:t>Да, тендером се подразумева мерење контролних канала базних станица.</w:t>
      </w:r>
      <w:r w:rsidR="000550E7">
        <w:rPr>
          <w:lang w:val="sr-Cyrl-RS"/>
        </w:rPr>
        <w:t xml:space="preserve"> Контролни канали базних станица се налазе у фреквентном опсегу радио система мобилне телефоније (оператора мобилних телекомуникација бежичних радио система), тако да су они обухваћени ускопојасним селективним мерењима по фреквенцијама оператера (спектрална анализа)</w:t>
      </w:r>
      <w:r w:rsidR="000550E7">
        <w:rPr>
          <w:color w:val="365F91" w:themeColor="accent1" w:themeShade="BF"/>
          <w:lang w:val="sr-Cyrl-RS"/>
        </w:rPr>
        <w:t>,</w:t>
      </w:r>
      <w:r w:rsidR="000550E7">
        <w:rPr>
          <w:lang w:val="sr-Cyrl-RS"/>
        </w:rPr>
        <w:t xml:space="preserve"> </w:t>
      </w:r>
      <w:proofErr w:type="spellStart"/>
      <w:r w:rsidR="000550E7">
        <w:t>како</w:t>
      </w:r>
      <w:proofErr w:type="spellEnd"/>
      <w:r w:rsidR="000550E7">
        <w:t xml:space="preserve"> </w:t>
      </w:r>
      <w:proofErr w:type="spellStart"/>
      <w:r w:rsidR="000550E7">
        <w:t>је</w:t>
      </w:r>
      <w:proofErr w:type="spellEnd"/>
      <w:r w:rsidR="000550E7">
        <w:t xml:space="preserve"> </w:t>
      </w:r>
      <w:proofErr w:type="spellStart"/>
      <w:r w:rsidR="000550E7">
        <w:t>то</w:t>
      </w:r>
      <w:proofErr w:type="spellEnd"/>
      <w:r w:rsidR="000550E7">
        <w:t xml:space="preserve"> </w:t>
      </w:r>
      <w:proofErr w:type="spellStart"/>
      <w:r w:rsidR="000550E7">
        <w:t>предвиђено</w:t>
      </w:r>
      <w:proofErr w:type="spellEnd"/>
      <w:r w:rsidR="000550E7">
        <w:t xml:space="preserve"> </w:t>
      </w:r>
      <w:proofErr w:type="spellStart"/>
      <w:r w:rsidR="000550E7">
        <w:t>за</w:t>
      </w:r>
      <w:proofErr w:type="spellEnd"/>
      <w:r w:rsidR="000550E7">
        <w:t xml:space="preserve"> </w:t>
      </w:r>
      <w:r w:rsidR="000550E7">
        <w:rPr>
          <w:lang w:val="sr-Cyrl-RS"/>
        </w:rPr>
        <w:t xml:space="preserve">методе </w:t>
      </w:r>
      <w:proofErr w:type="spellStart"/>
      <w:r w:rsidR="000550E7">
        <w:t>мерења</w:t>
      </w:r>
      <w:proofErr w:type="spellEnd"/>
      <w:r w:rsidR="000550E7">
        <w:t xml:space="preserve"> у </w:t>
      </w:r>
      <w:proofErr w:type="spellStart"/>
      <w:r w:rsidR="000550E7">
        <w:t>високофреквентном</w:t>
      </w:r>
      <w:proofErr w:type="spellEnd"/>
      <w:r w:rsidR="000550E7">
        <w:t xml:space="preserve"> </w:t>
      </w:r>
      <w:proofErr w:type="spellStart"/>
      <w:r w:rsidR="000550E7">
        <w:t>подручју</w:t>
      </w:r>
      <w:proofErr w:type="spellEnd"/>
      <w:r w:rsidR="000550E7">
        <w:t xml:space="preserve"> </w:t>
      </w:r>
      <w:proofErr w:type="spellStart"/>
      <w:r w:rsidR="000550E7">
        <w:t>на</w:t>
      </w:r>
      <w:proofErr w:type="spellEnd"/>
      <w:r w:rsidR="000550E7">
        <w:t xml:space="preserve"> </w:t>
      </w:r>
      <w:proofErr w:type="spellStart"/>
      <w:r w:rsidR="000550E7">
        <w:t>основу</w:t>
      </w:r>
      <w:proofErr w:type="spellEnd"/>
      <w:r w:rsidR="000550E7">
        <w:t xml:space="preserve"> </w:t>
      </w:r>
      <w:proofErr w:type="spellStart"/>
      <w:r w:rsidR="000550E7">
        <w:t>стандарда</w:t>
      </w:r>
      <w:proofErr w:type="spellEnd"/>
      <w:r w:rsidR="000550E7">
        <w:t xml:space="preserve"> CEI IEC 61566.</w:t>
      </w:r>
    </w:p>
    <w:p w:rsidR="008E76F4" w:rsidRPr="00ED005B" w:rsidRDefault="008E76F4" w:rsidP="000550E7">
      <w:pPr>
        <w:jc w:val="both"/>
        <w:rPr>
          <w:color w:val="FF0000"/>
          <w:sz w:val="20"/>
          <w:szCs w:val="20"/>
          <w:lang w:val="sr-Cyrl-RS"/>
        </w:rPr>
      </w:pPr>
    </w:p>
    <w:p w:rsidR="008E76F4" w:rsidRPr="00374C95" w:rsidRDefault="008E76F4" w:rsidP="003C6368">
      <w:pPr>
        <w:ind w:firstLine="720"/>
        <w:jc w:val="both"/>
        <w:rPr>
          <w:sz w:val="20"/>
          <w:szCs w:val="20"/>
          <w:lang w:val="sr-Cyrl-RS"/>
        </w:rPr>
      </w:pPr>
      <w:r w:rsidRPr="00374C95">
        <w:rPr>
          <w:sz w:val="20"/>
          <w:szCs w:val="20"/>
          <w:lang w:val="sr-Cyrl-RS"/>
        </w:rPr>
        <w:t xml:space="preserve">Додатне информације/појашњења, сходно члану 63. став 3. Закона о јавним набавкама,  објавити на Порталу јавних набавки и на интернет страници наручиоца </w:t>
      </w:r>
      <w:hyperlink r:id="rId8" w:history="1">
        <w:r w:rsidRPr="00374C95">
          <w:rPr>
            <w:rStyle w:val="Hyperlink"/>
            <w:color w:val="auto"/>
            <w:sz w:val="20"/>
            <w:szCs w:val="20"/>
            <w:lang w:val="sr-Cyrl-RS"/>
          </w:rPr>
          <w:t>www.ekourb.vojvodina.gov.rs</w:t>
        </w:r>
      </w:hyperlink>
      <w:r w:rsidRPr="00374C95">
        <w:rPr>
          <w:rStyle w:val="Hyperlink"/>
          <w:color w:val="auto"/>
          <w:sz w:val="20"/>
          <w:szCs w:val="20"/>
          <w:lang w:val="sr-Cyrl-RS"/>
        </w:rPr>
        <w:t xml:space="preserve"> </w:t>
      </w:r>
      <w:r w:rsidRPr="00374C95">
        <w:rPr>
          <w:sz w:val="20"/>
          <w:szCs w:val="20"/>
          <w:lang w:val="sr-Cyrl-RS"/>
        </w:rPr>
        <w:t>у року од три дана од дана пријема захтева.</w:t>
      </w:r>
    </w:p>
    <w:p w:rsidR="008E76F4" w:rsidRPr="00374C95" w:rsidRDefault="008E76F4" w:rsidP="003C6368">
      <w:pPr>
        <w:ind w:firstLine="720"/>
        <w:jc w:val="both"/>
        <w:rPr>
          <w:sz w:val="20"/>
          <w:szCs w:val="20"/>
          <w:lang w:val="sr-Cyrl-RS"/>
        </w:rPr>
      </w:pPr>
    </w:p>
    <w:p w:rsidR="008E76F4" w:rsidRPr="00374C95" w:rsidRDefault="008E76F4" w:rsidP="003C6368">
      <w:pPr>
        <w:ind w:firstLine="720"/>
        <w:jc w:val="both"/>
        <w:rPr>
          <w:sz w:val="20"/>
          <w:szCs w:val="20"/>
          <w:lang w:val="sr-Cyrl-RS"/>
        </w:rPr>
      </w:pPr>
    </w:p>
    <w:p w:rsidR="008E76F4" w:rsidRPr="00374C95" w:rsidRDefault="008E76F4" w:rsidP="000550E7">
      <w:pPr>
        <w:ind w:firstLine="720"/>
        <w:jc w:val="both"/>
        <w:rPr>
          <w:sz w:val="20"/>
          <w:szCs w:val="20"/>
        </w:rPr>
      </w:pPr>
      <w:r w:rsidRPr="00374C95">
        <w:rPr>
          <w:sz w:val="20"/>
          <w:szCs w:val="20"/>
          <w:lang w:val="sr-Cyrl-RS"/>
        </w:rPr>
        <w:tab/>
      </w:r>
      <w:r w:rsidRPr="00374C95">
        <w:rPr>
          <w:sz w:val="20"/>
          <w:szCs w:val="20"/>
          <w:lang w:val="sr-Cyrl-RS"/>
        </w:rPr>
        <w:tab/>
      </w:r>
      <w:r w:rsidRPr="00374C95">
        <w:rPr>
          <w:sz w:val="20"/>
          <w:szCs w:val="20"/>
          <w:lang w:val="sr-Cyrl-RS"/>
        </w:rPr>
        <w:tab/>
      </w:r>
      <w:r w:rsidRPr="00374C95">
        <w:rPr>
          <w:sz w:val="20"/>
          <w:szCs w:val="20"/>
          <w:lang w:val="sr-Cyrl-RS"/>
        </w:rPr>
        <w:tab/>
      </w:r>
      <w:r w:rsidRPr="00374C95">
        <w:rPr>
          <w:sz w:val="20"/>
          <w:szCs w:val="20"/>
          <w:lang w:val="sr-Cyrl-RS"/>
        </w:rPr>
        <w:tab/>
      </w:r>
      <w:r w:rsidRPr="00374C95">
        <w:rPr>
          <w:sz w:val="20"/>
          <w:szCs w:val="20"/>
          <w:lang w:val="sr-Cyrl-RS"/>
        </w:rPr>
        <w:tab/>
      </w:r>
      <w:r w:rsidRPr="00374C95">
        <w:rPr>
          <w:sz w:val="20"/>
          <w:szCs w:val="20"/>
          <w:lang w:val="sr-Cyrl-RS"/>
        </w:rPr>
        <w:tab/>
      </w:r>
      <w:r w:rsidRPr="00374C95">
        <w:rPr>
          <w:sz w:val="20"/>
          <w:szCs w:val="20"/>
          <w:lang w:val="sr-Cyrl-RS"/>
        </w:rPr>
        <w:tab/>
        <w:t>Комисија за јавну набавку</w:t>
      </w:r>
    </w:p>
    <w:p w:rsidR="008E76F4" w:rsidRPr="00374C95" w:rsidRDefault="008E76F4" w:rsidP="003C6368">
      <w:pPr>
        <w:jc w:val="both"/>
        <w:rPr>
          <w:sz w:val="20"/>
          <w:szCs w:val="20"/>
        </w:rPr>
      </w:pPr>
    </w:p>
    <w:p w:rsidR="00F00730" w:rsidRPr="00ED005B" w:rsidRDefault="00F00730" w:rsidP="003C6368">
      <w:pPr>
        <w:jc w:val="both"/>
        <w:rPr>
          <w:color w:val="FF0000"/>
          <w:sz w:val="20"/>
          <w:szCs w:val="20"/>
          <w:lang w:val="sr-Cyrl-RS"/>
        </w:rPr>
      </w:pPr>
    </w:p>
    <w:sectPr w:rsidR="00F00730" w:rsidRPr="00ED005B" w:rsidSect="003C6368">
      <w:pgSz w:w="11906" w:h="16838"/>
      <w:pgMar w:top="14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7B306A"/>
    <w:multiLevelType w:val="hybridMultilevel"/>
    <w:tmpl w:val="4CD63864"/>
    <w:lvl w:ilvl="0" w:tplc="0C4880D8">
      <w:start w:val="1"/>
      <w:numFmt w:val="decimal"/>
      <w:lvlText w:val="%1."/>
      <w:lvlJc w:val="left"/>
      <w:pPr>
        <w:ind w:left="608" w:hanging="360"/>
      </w:pPr>
      <w:rPr>
        <w:rFonts w:hint="default"/>
      </w:rPr>
    </w:lvl>
    <w:lvl w:ilvl="1" w:tplc="08090019" w:tentative="1">
      <w:start w:val="1"/>
      <w:numFmt w:val="lowerLetter"/>
      <w:lvlText w:val="%2."/>
      <w:lvlJc w:val="left"/>
      <w:pPr>
        <w:ind w:left="1328" w:hanging="360"/>
      </w:pPr>
    </w:lvl>
    <w:lvl w:ilvl="2" w:tplc="0809001B" w:tentative="1">
      <w:start w:val="1"/>
      <w:numFmt w:val="lowerRoman"/>
      <w:lvlText w:val="%3."/>
      <w:lvlJc w:val="right"/>
      <w:pPr>
        <w:ind w:left="2048" w:hanging="180"/>
      </w:pPr>
    </w:lvl>
    <w:lvl w:ilvl="3" w:tplc="0809000F" w:tentative="1">
      <w:start w:val="1"/>
      <w:numFmt w:val="decimal"/>
      <w:lvlText w:val="%4."/>
      <w:lvlJc w:val="left"/>
      <w:pPr>
        <w:ind w:left="2768" w:hanging="360"/>
      </w:pPr>
    </w:lvl>
    <w:lvl w:ilvl="4" w:tplc="08090019" w:tentative="1">
      <w:start w:val="1"/>
      <w:numFmt w:val="lowerLetter"/>
      <w:lvlText w:val="%5."/>
      <w:lvlJc w:val="left"/>
      <w:pPr>
        <w:ind w:left="3488" w:hanging="360"/>
      </w:pPr>
    </w:lvl>
    <w:lvl w:ilvl="5" w:tplc="0809001B" w:tentative="1">
      <w:start w:val="1"/>
      <w:numFmt w:val="lowerRoman"/>
      <w:lvlText w:val="%6."/>
      <w:lvlJc w:val="right"/>
      <w:pPr>
        <w:ind w:left="4208" w:hanging="180"/>
      </w:pPr>
    </w:lvl>
    <w:lvl w:ilvl="6" w:tplc="0809000F" w:tentative="1">
      <w:start w:val="1"/>
      <w:numFmt w:val="decimal"/>
      <w:lvlText w:val="%7."/>
      <w:lvlJc w:val="left"/>
      <w:pPr>
        <w:ind w:left="4928" w:hanging="360"/>
      </w:pPr>
    </w:lvl>
    <w:lvl w:ilvl="7" w:tplc="08090019" w:tentative="1">
      <w:start w:val="1"/>
      <w:numFmt w:val="lowerLetter"/>
      <w:lvlText w:val="%8."/>
      <w:lvlJc w:val="left"/>
      <w:pPr>
        <w:ind w:left="5648" w:hanging="360"/>
      </w:pPr>
    </w:lvl>
    <w:lvl w:ilvl="8" w:tplc="0809001B" w:tentative="1">
      <w:start w:val="1"/>
      <w:numFmt w:val="lowerRoman"/>
      <w:lvlText w:val="%9."/>
      <w:lvlJc w:val="right"/>
      <w:pPr>
        <w:ind w:left="6368" w:hanging="180"/>
      </w:pPr>
    </w:lvl>
  </w:abstractNum>
  <w:abstractNum w:abstractNumId="2">
    <w:nsid w:val="55A4357A"/>
    <w:multiLevelType w:val="hybridMultilevel"/>
    <w:tmpl w:val="21BA5E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9095EC3"/>
    <w:multiLevelType w:val="hybridMultilevel"/>
    <w:tmpl w:val="B26E9452"/>
    <w:lvl w:ilvl="0" w:tplc="544E88C0">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6F4"/>
    <w:rsid w:val="00052301"/>
    <w:rsid w:val="000550E7"/>
    <w:rsid w:val="0013512B"/>
    <w:rsid w:val="00374C95"/>
    <w:rsid w:val="003C6368"/>
    <w:rsid w:val="008225AA"/>
    <w:rsid w:val="008E76F4"/>
    <w:rsid w:val="00A6542C"/>
    <w:rsid w:val="00AB5025"/>
    <w:rsid w:val="00CF4D5B"/>
    <w:rsid w:val="00D35E65"/>
    <w:rsid w:val="00E6742A"/>
    <w:rsid w:val="00E97ACC"/>
    <w:rsid w:val="00EB769E"/>
    <w:rsid w:val="00ED005B"/>
    <w:rsid w:val="00F00730"/>
    <w:rsid w:val="00FB3FD8"/>
    <w:rsid w:val="00FF2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E76F4"/>
    <w:pPr>
      <w:widowControl w:val="0"/>
      <w:spacing w:after="0" w:line="240" w:lineRule="auto"/>
    </w:pPr>
    <w:rPr>
      <w:lang w:val="en-US"/>
    </w:rPr>
  </w:style>
  <w:style w:type="paragraph" w:styleId="Heading2">
    <w:name w:val="heading 2"/>
    <w:basedOn w:val="Normal"/>
    <w:next w:val="Normal"/>
    <w:link w:val="Heading2Char"/>
    <w:uiPriority w:val="9"/>
    <w:semiHidden/>
    <w:unhideWhenUsed/>
    <w:qFormat/>
    <w:rsid w:val="00FF2E2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76F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E76F4"/>
    <w:pPr>
      <w:widowControl/>
      <w:ind w:left="720"/>
    </w:pPr>
    <w:rPr>
      <w:rFonts w:ascii="Calibri" w:hAnsi="Calibri" w:cs="Times New Roman"/>
      <w:lang w:val="en-GB"/>
    </w:rPr>
  </w:style>
  <w:style w:type="character" w:styleId="Hyperlink">
    <w:name w:val="Hyperlink"/>
    <w:basedOn w:val="DefaultParagraphFont"/>
    <w:uiPriority w:val="99"/>
    <w:unhideWhenUsed/>
    <w:rsid w:val="008E76F4"/>
    <w:rPr>
      <w:color w:val="0000FF" w:themeColor="hyperlink"/>
      <w:u w:val="single"/>
    </w:rPr>
  </w:style>
  <w:style w:type="character" w:customStyle="1" w:styleId="Heading2Char">
    <w:name w:val="Heading 2 Char"/>
    <w:basedOn w:val="DefaultParagraphFont"/>
    <w:link w:val="Heading2"/>
    <w:uiPriority w:val="1"/>
    <w:rsid w:val="00FF2E20"/>
    <w:rPr>
      <w:rFonts w:asciiTheme="majorHAnsi" w:eastAsiaTheme="majorEastAsia" w:hAnsiTheme="majorHAnsi" w:cstheme="majorBidi"/>
      <w:b/>
      <w:bCs/>
      <w:color w:val="4F81BD" w:themeColor="accent1"/>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E76F4"/>
    <w:pPr>
      <w:widowControl w:val="0"/>
      <w:spacing w:after="0" w:line="240" w:lineRule="auto"/>
    </w:pPr>
    <w:rPr>
      <w:lang w:val="en-US"/>
    </w:rPr>
  </w:style>
  <w:style w:type="paragraph" w:styleId="Heading2">
    <w:name w:val="heading 2"/>
    <w:basedOn w:val="Normal"/>
    <w:next w:val="Normal"/>
    <w:link w:val="Heading2Char"/>
    <w:uiPriority w:val="9"/>
    <w:semiHidden/>
    <w:unhideWhenUsed/>
    <w:qFormat/>
    <w:rsid w:val="00FF2E2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76F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E76F4"/>
    <w:pPr>
      <w:widowControl/>
      <w:ind w:left="720"/>
    </w:pPr>
    <w:rPr>
      <w:rFonts w:ascii="Calibri" w:hAnsi="Calibri" w:cs="Times New Roman"/>
      <w:lang w:val="en-GB"/>
    </w:rPr>
  </w:style>
  <w:style w:type="character" w:styleId="Hyperlink">
    <w:name w:val="Hyperlink"/>
    <w:basedOn w:val="DefaultParagraphFont"/>
    <w:uiPriority w:val="99"/>
    <w:unhideWhenUsed/>
    <w:rsid w:val="008E76F4"/>
    <w:rPr>
      <w:color w:val="0000FF" w:themeColor="hyperlink"/>
      <w:u w:val="single"/>
    </w:rPr>
  </w:style>
  <w:style w:type="character" w:customStyle="1" w:styleId="Heading2Char">
    <w:name w:val="Heading 2 Char"/>
    <w:basedOn w:val="DefaultParagraphFont"/>
    <w:link w:val="Heading2"/>
    <w:uiPriority w:val="1"/>
    <w:rsid w:val="00FF2E20"/>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30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ourb.vojvodina.gov.rs" TargetMode="External"/><Relationship Id="rId3" Type="http://schemas.microsoft.com/office/2007/relationships/stylesWithEffects" Target="stylesWithEffects.xml"/><Relationship Id="rId7" Type="http://schemas.openxmlformats.org/officeDocument/2006/relationships/hyperlink" Target="mailto:ekourb@vojvodina.gov.rs|www.ekourb.vojvodina.gov.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Tankosava Čanak</cp:lastModifiedBy>
  <cp:revision>11</cp:revision>
  <cp:lastPrinted>2017-04-21T13:02:00Z</cp:lastPrinted>
  <dcterms:created xsi:type="dcterms:W3CDTF">2017-04-21T13:04:00Z</dcterms:created>
  <dcterms:modified xsi:type="dcterms:W3CDTF">2017-04-24T13:13:00Z</dcterms:modified>
</cp:coreProperties>
</file>