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5448"/>
      </w:tblGrid>
      <w:tr w:rsidR="005E2FE9" w:rsidRPr="005E2FE9" w:rsidTr="00F514AD">
        <w:trPr>
          <w:trHeight w:val="1975"/>
        </w:trPr>
        <w:tc>
          <w:tcPr>
            <w:tcW w:w="1276" w:type="dxa"/>
          </w:tcPr>
          <w:p w:rsidR="005E2FE9" w:rsidRPr="005E2FE9" w:rsidRDefault="005E2FE9" w:rsidP="005E2FE9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5E2FE9">
              <w:rPr>
                <w:rFonts w:asciiTheme="minorHAnsi" w:eastAsia="Calibri" w:hAnsiTheme="minorHAns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5F35237" wp14:editId="22A5E33F">
                  <wp:extent cx="687705" cy="848360"/>
                  <wp:effectExtent l="0" t="0" r="0" b="8890"/>
                  <wp:docPr id="1" name="Picture 1" descr="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9" w:type="dxa"/>
            <w:gridSpan w:val="2"/>
          </w:tcPr>
          <w:p w:rsidR="005E2FE9" w:rsidRPr="005E2FE9" w:rsidRDefault="005E2FE9" w:rsidP="005E2FE9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Република Србија</w:t>
            </w:r>
          </w:p>
          <w:p w:rsidR="005E2FE9" w:rsidRPr="005E2FE9" w:rsidRDefault="005E2FE9" w:rsidP="005E2FE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Аутономна покрајина Војводина</w:t>
            </w:r>
          </w:p>
          <w:p w:rsidR="005E2FE9" w:rsidRPr="005E2FE9" w:rsidRDefault="005E2FE9" w:rsidP="005E2FE9">
            <w:pPr>
              <w:spacing w:line="204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sr-Cyrl-RS"/>
              </w:rPr>
            </w:pPr>
            <w:r w:rsidRPr="005E2FE9">
              <w:rPr>
                <w:rFonts w:asciiTheme="minorHAnsi" w:eastAsia="Calibri" w:hAnsiTheme="minorHAnsi" w:cs="Arial"/>
                <w:b/>
                <w:sz w:val="22"/>
                <w:szCs w:val="22"/>
              </w:rPr>
              <w:t>Покрајински секретаријат за урбанизам,</w:t>
            </w:r>
            <w:r w:rsidRPr="005E2FE9">
              <w:rPr>
                <w:rFonts w:asciiTheme="minorHAnsi" w:eastAsia="Calibri" w:hAnsiTheme="minorHAnsi" w:cs="Arial"/>
                <w:b/>
                <w:sz w:val="22"/>
                <w:szCs w:val="22"/>
              </w:rPr>
              <w:br/>
              <w:t>градитељство и заштиту животне средине</w:t>
            </w:r>
          </w:p>
          <w:p w:rsidR="005E2FE9" w:rsidRPr="005E2FE9" w:rsidRDefault="005E2FE9" w:rsidP="005E2FE9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Булевар Михајла Пупина 16, 21000 Нови Сад</w:t>
            </w:r>
          </w:p>
          <w:p w:rsidR="005E2FE9" w:rsidRPr="005E2FE9" w:rsidRDefault="005E2FE9" w:rsidP="005E2FE9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Т: +381 21 </w:t>
            </w:r>
            <w:r w:rsidRPr="005E2FE9">
              <w:rPr>
                <w:rFonts w:asciiTheme="minorHAnsi" w:eastAsia="Calibri" w:hAnsiTheme="minorHAnsi"/>
                <w:sz w:val="22"/>
                <w:szCs w:val="22"/>
              </w:rPr>
              <w:t xml:space="preserve">487 47 19  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F: +381 21 </w:t>
            </w:r>
            <w:r w:rsidRPr="005E2FE9">
              <w:rPr>
                <w:rFonts w:asciiTheme="minorHAnsi" w:eastAsia="Calibri" w:hAnsiTheme="minorHAnsi"/>
                <w:sz w:val="22"/>
                <w:szCs w:val="22"/>
              </w:rPr>
              <w:t>456 238</w:t>
            </w:r>
          </w:p>
          <w:p w:rsidR="005E2FE9" w:rsidRPr="005E2FE9" w:rsidRDefault="005E2FE9" w:rsidP="005E2FE9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ekourb@vojvodina.gov.rs | </w:t>
            </w:r>
            <w:hyperlink r:id="rId8" w:history="1">
              <w:r w:rsidRPr="005E2FE9">
                <w:rPr>
                  <w:rFonts w:asciiTheme="minorHAnsi" w:eastAsia="Calibri" w:hAnsiTheme="minorHAnsi"/>
                  <w:color w:val="0000FF" w:themeColor="hyperlink"/>
                  <w:sz w:val="22"/>
                  <w:szCs w:val="22"/>
                  <w:u w:val="single"/>
                </w:rPr>
                <w:t>www.ekourb.vojvodina.gov.rs</w:t>
              </w:r>
            </w:hyperlink>
          </w:p>
          <w:p w:rsidR="005E2FE9" w:rsidRPr="005E2FE9" w:rsidRDefault="005E2FE9" w:rsidP="005E2FE9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</w:p>
        </w:tc>
      </w:tr>
      <w:tr w:rsidR="005E2FE9" w:rsidRPr="005E2FE9" w:rsidTr="00F514AD">
        <w:trPr>
          <w:gridAfter w:val="1"/>
          <w:wAfter w:w="5448" w:type="dxa"/>
          <w:trHeight w:val="305"/>
        </w:trPr>
        <w:tc>
          <w:tcPr>
            <w:tcW w:w="1276" w:type="dxa"/>
          </w:tcPr>
          <w:p w:rsidR="005E2FE9" w:rsidRPr="005E2FE9" w:rsidRDefault="005E2FE9" w:rsidP="005E2FE9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</w:tcPr>
          <w:p w:rsidR="005E2FE9" w:rsidRPr="005E2FE9" w:rsidRDefault="005E2FE9" w:rsidP="005E2FE9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 xml:space="preserve">ДАТУМ: 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16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.0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3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.2015. године             БРОЈ: 130-40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4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-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59</w:t>
            </w:r>
            <w:r w:rsidRPr="005E2FE9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/2015-02</w:t>
            </w:r>
          </w:p>
          <w:p w:rsidR="005E2FE9" w:rsidRPr="005E2FE9" w:rsidRDefault="005E2FE9" w:rsidP="005E2FE9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val="sr-Cyrl-RS"/>
              </w:rPr>
            </w:pPr>
            <w:r w:rsidRPr="005E2FE9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val="sr-Cyrl-RS"/>
              </w:rPr>
              <w:t xml:space="preserve">                  </w:t>
            </w:r>
          </w:p>
        </w:tc>
      </w:tr>
    </w:tbl>
    <w:p w:rsidR="005E2FE9" w:rsidRPr="005E2FE9" w:rsidRDefault="005E2FE9" w:rsidP="005E2FE9">
      <w:pPr>
        <w:autoSpaceDE w:val="0"/>
        <w:autoSpaceDN w:val="0"/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</w:pPr>
    </w:p>
    <w:p w:rsidR="005E2FE9" w:rsidRPr="005E2FE9" w:rsidRDefault="005E2FE9" w:rsidP="005E2FE9">
      <w:pPr>
        <w:jc w:val="center"/>
        <w:rPr>
          <w:rFonts w:asciiTheme="minorHAnsi" w:eastAsiaTheme="minorHAnsi" w:hAnsiTheme="minorHAnsi"/>
          <w:b/>
          <w:sz w:val="22"/>
          <w:szCs w:val="22"/>
          <w:lang w:val="sr-Cyrl-RS"/>
        </w:rPr>
      </w:pPr>
    </w:p>
    <w:p w:rsidR="005E2FE9" w:rsidRPr="005E2FE9" w:rsidRDefault="005E2FE9" w:rsidP="005E2FE9">
      <w:pPr>
        <w:jc w:val="center"/>
        <w:rPr>
          <w:rFonts w:asciiTheme="minorHAnsi" w:eastAsiaTheme="minorHAnsi" w:hAnsiTheme="minorHAnsi"/>
          <w:b/>
          <w:sz w:val="22"/>
          <w:szCs w:val="22"/>
          <w:lang w:val="sr-Cyrl-RS"/>
        </w:rPr>
      </w:pPr>
      <w:r w:rsidRPr="005E2FE9">
        <w:rPr>
          <w:rFonts w:asciiTheme="minorHAnsi" w:eastAsiaTheme="minorHAnsi" w:hAnsiTheme="minorHAnsi"/>
          <w:b/>
          <w:sz w:val="22"/>
          <w:szCs w:val="22"/>
          <w:lang w:val="sr-Cyrl-RS"/>
        </w:rPr>
        <w:t>ДОД</w:t>
      </w:r>
      <w:r w:rsidRPr="004D273B">
        <w:rPr>
          <w:rFonts w:asciiTheme="minorHAnsi" w:eastAsiaTheme="minorHAnsi" w:hAnsiTheme="minorHAnsi"/>
          <w:b/>
          <w:sz w:val="22"/>
          <w:szCs w:val="22"/>
          <w:lang w:val="sr-Cyrl-RS"/>
        </w:rPr>
        <w:t>АТНЕ ИНФОРМАЦИЈЕ/ПОЈАШЊЕЊА БР. 2</w:t>
      </w:r>
    </w:p>
    <w:p w:rsidR="005E2FE9" w:rsidRPr="005E2FE9" w:rsidRDefault="005E2FE9" w:rsidP="005E2FE9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E2FE9">
        <w:rPr>
          <w:rFonts w:asciiTheme="minorHAnsi" w:eastAsiaTheme="minorHAnsi" w:hAnsiTheme="minorHAnsi"/>
          <w:b/>
          <w:sz w:val="22"/>
          <w:szCs w:val="22"/>
          <w:lang w:val="sr-Cyrl-RS"/>
        </w:rPr>
        <w:t xml:space="preserve">У вези конкурсне документације за јавну  </w:t>
      </w:r>
      <w:r w:rsidRPr="005E2FE9">
        <w:rPr>
          <w:rFonts w:asciiTheme="minorHAnsi" w:hAnsiTheme="minorHAnsi"/>
          <w:b/>
          <w:sz w:val="22"/>
          <w:szCs w:val="22"/>
          <w:lang w:val="sr-Cyrl-CS"/>
        </w:rPr>
        <w:t>набавк</w:t>
      </w:r>
      <w:r w:rsidRPr="005E2FE9">
        <w:rPr>
          <w:rFonts w:asciiTheme="minorHAnsi" w:hAnsiTheme="minorHAnsi"/>
          <w:b/>
          <w:sz w:val="22"/>
          <w:szCs w:val="22"/>
          <w:lang w:val="sr-Cyrl-RS"/>
        </w:rPr>
        <w:t>у</w:t>
      </w:r>
    </w:p>
    <w:p w:rsidR="005E2FE9" w:rsidRPr="005E2FE9" w:rsidRDefault="005E2FE9" w:rsidP="005E2FE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5E2FE9">
        <w:rPr>
          <w:rFonts w:asciiTheme="minorHAnsi" w:hAnsiTheme="minorHAnsi"/>
          <w:b/>
          <w:sz w:val="22"/>
          <w:szCs w:val="22"/>
          <w:lang w:val="sr-Cyrl-CS"/>
        </w:rPr>
        <w:t xml:space="preserve"> УСЛУГЕ </w:t>
      </w:r>
    </w:p>
    <w:p w:rsidR="005E2FE9" w:rsidRPr="005E2FE9" w:rsidRDefault="005E2FE9" w:rsidP="005E2FE9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E2FE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5E2FE9">
        <w:rPr>
          <w:rFonts w:asciiTheme="minorHAnsi" w:hAnsiTheme="minorHAnsi"/>
          <w:b/>
          <w:sz w:val="22"/>
          <w:szCs w:val="22"/>
          <w:lang w:val="sr-Cyrl-RS"/>
        </w:rPr>
        <w:t xml:space="preserve">ЈЕДНОГОДИШЊЕГ </w:t>
      </w:r>
      <w:r w:rsidRPr="005E2FE9">
        <w:rPr>
          <w:rFonts w:asciiTheme="minorHAnsi" w:hAnsiTheme="minorHAnsi"/>
          <w:b/>
          <w:sz w:val="22"/>
          <w:szCs w:val="22"/>
          <w:lang w:val="en-GB"/>
        </w:rPr>
        <w:t xml:space="preserve">ОДРЖАВАЊА </w:t>
      </w:r>
      <w:r w:rsidRPr="005E2FE9">
        <w:rPr>
          <w:rFonts w:asciiTheme="minorHAnsi" w:hAnsiTheme="minorHAnsi"/>
          <w:b/>
          <w:sz w:val="22"/>
          <w:szCs w:val="22"/>
          <w:lang w:val="sr-Cyrl-RS"/>
        </w:rPr>
        <w:t xml:space="preserve">СЕРВЕРА ТИПА </w:t>
      </w:r>
      <w:r w:rsidRPr="005E2FE9">
        <w:rPr>
          <w:rFonts w:asciiTheme="minorHAnsi" w:hAnsiTheme="minorHAnsi"/>
          <w:b/>
          <w:sz w:val="22"/>
          <w:szCs w:val="22"/>
          <w:lang w:val="sr-Latn-RS"/>
        </w:rPr>
        <w:t>RAC</w:t>
      </w:r>
      <w:r w:rsidRPr="005E2FE9">
        <w:rPr>
          <w:rFonts w:asciiTheme="minorHAnsi" w:hAnsiTheme="minorHAnsi"/>
          <w:b/>
          <w:sz w:val="22"/>
          <w:szCs w:val="22"/>
          <w:lang w:val="sr-Cyrl-RS"/>
        </w:rPr>
        <w:t>К</w:t>
      </w:r>
      <w:r w:rsidRPr="005E2FE9">
        <w:rPr>
          <w:rFonts w:asciiTheme="minorHAnsi" w:hAnsiTheme="minorHAnsi"/>
          <w:b/>
          <w:sz w:val="22"/>
          <w:szCs w:val="22"/>
          <w:lang w:val="sr-Latn-RS"/>
        </w:rPr>
        <w:t xml:space="preserve"> SERVER DELL</w:t>
      </w:r>
      <w:r w:rsidRPr="005E2FE9">
        <w:rPr>
          <w:rFonts w:asciiTheme="minorHAnsi" w:hAnsiTheme="minorHAnsi"/>
          <w:b/>
          <w:sz w:val="22"/>
          <w:szCs w:val="22"/>
          <w:vertAlign w:val="superscript"/>
          <w:lang w:val="sr-Latn-RS"/>
        </w:rPr>
        <w:t>TM</w:t>
      </w:r>
      <w:r w:rsidRPr="005E2FE9">
        <w:rPr>
          <w:rFonts w:asciiTheme="minorHAnsi" w:hAnsiTheme="minorHAnsi"/>
          <w:b/>
          <w:sz w:val="22"/>
          <w:szCs w:val="22"/>
          <w:lang w:val="sr-Latn-RS"/>
        </w:rPr>
        <w:t xml:space="preserve"> POWEREDGE</w:t>
      </w:r>
      <w:r w:rsidRPr="005E2FE9">
        <w:rPr>
          <w:rFonts w:asciiTheme="minorHAnsi" w:hAnsiTheme="minorHAnsi"/>
          <w:b/>
          <w:sz w:val="22"/>
          <w:szCs w:val="22"/>
          <w:vertAlign w:val="superscript"/>
          <w:lang w:val="sr-Latn-RS"/>
        </w:rPr>
        <w:t>TM</w:t>
      </w:r>
      <w:r w:rsidRPr="005E2FE9">
        <w:rPr>
          <w:rFonts w:asciiTheme="minorHAnsi" w:hAnsiTheme="minorHAnsi"/>
          <w:b/>
          <w:sz w:val="22"/>
          <w:szCs w:val="22"/>
          <w:lang w:val="sr-Latn-RS"/>
        </w:rPr>
        <w:t xml:space="preserve"> R710, </w:t>
      </w:r>
      <w:r w:rsidRPr="005E2FE9">
        <w:rPr>
          <w:rFonts w:asciiTheme="minorHAnsi" w:hAnsiTheme="minorHAnsi"/>
          <w:b/>
          <w:sz w:val="22"/>
          <w:szCs w:val="22"/>
          <w:lang w:val="sr-Cyrl-RS"/>
        </w:rPr>
        <w:t>СОФТВЕРСКЕ ИНФРАСТРУКТУРЕ СЕРВЕРА И ПРАТЕЋЕ ОПРЕМЕ</w:t>
      </w:r>
      <w:r w:rsidRPr="005E2FE9">
        <w:rPr>
          <w:rFonts w:asciiTheme="minorHAnsi" w:hAnsiTheme="minorHAnsi"/>
          <w:b/>
          <w:sz w:val="22"/>
          <w:szCs w:val="22"/>
          <w:lang w:val="en-GB"/>
        </w:rPr>
        <w:t>,</w:t>
      </w:r>
    </w:p>
    <w:p w:rsidR="005E2FE9" w:rsidRPr="005E2FE9" w:rsidRDefault="005E2FE9" w:rsidP="005E2FE9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E2FE9">
        <w:rPr>
          <w:rFonts w:asciiTheme="minorHAnsi" w:hAnsiTheme="minorHAnsi"/>
          <w:b/>
          <w:sz w:val="22"/>
          <w:szCs w:val="22"/>
          <w:lang w:val="sr-Cyrl-RS"/>
        </w:rPr>
        <w:t>ОБЛИКОВАНЕ ПО ПАРТИЈАМА ОД 1 ДО 4</w:t>
      </w:r>
    </w:p>
    <w:p w:rsidR="005E2FE9" w:rsidRPr="005E2FE9" w:rsidRDefault="005E2FE9" w:rsidP="005E2FE9">
      <w:pPr>
        <w:jc w:val="center"/>
        <w:rPr>
          <w:rFonts w:asciiTheme="minorHAnsi" w:eastAsiaTheme="minorHAnsi" w:hAnsiTheme="minorHAnsi"/>
          <w:b/>
          <w:bCs/>
          <w:color w:val="FF0000"/>
          <w:sz w:val="22"/>
          <w:szCs w:val="22"/>
          <w:lang w:val="sr-Cyrl-RS" w:eastAsia="ar-SA"/>
        </w:rPr>
      </w:pPr>
      <w:r w:rsidRPr="005E2FE9">
        <w:rPr>
          <w:rFonts w:asciiTheme="minorHAnsi" w:eastAsiaTheme="minorHAnsi" w:hAnsiTheme="minorHAnsi"/>
          <w:b/>
          <w:color w:val="FF0000"/>
          <w:sz w:val="22"/>
          <w:szCs w:val="22"/>
          <w:lang w:val="sr-Cyrl-CS" w:eastAsia="ar-SA"/>
        </w:rPr>
        <w:t xml:space="preserve"> </w:t>
      </w:r>
    </w:p>
    <w:p w:rsidR="005E2FE9" w:rsidRPr="005E2FE9" w:rsidRDefault="005E2FE9" w:rsidP="005E2FE9">
      <w:pPr>
        <w:jc w:val="center"/>
        <w:rPr>
          <w:rFonts w:asciiTheme="minorHAnsi" w:eastAsiaTheme="minorHAnsi" w:hAnsiTheme="minorHAnsi"/>
          <w:sz w:val="22"/>
          <w:szCs w:val="22"/>
          <w:lang w:val="sr-Cyrl-RS"/>
        </w:rPr>
      </w:pPr>
      <w:r w:rsidRPr="005E2FE9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>ЈН ОП 5/15</w:t>
      </w:r>
    </w:p>
    <w:p w:rsidR="005E2FE9" w:rsidRPr="005E2FE9" w:rsidRDefault="005E2FE9" w:rsidP="005E2FE9">
      <w:pPr>
        <w:autoSpaceDE w:val="0"/>
        <w:autoSpaceDN w:val="0"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</w:p>
    <w:p w:rsidR="005E2FE9" w:rsidRPr="005E2FE9" w:rsidRDefault="005E2FE9" w:rsidP="005E2FE9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E2FE9">
        <w:rPr>
          <w:rFonts w:asciiTheme="minorHAnsi" w:eastAsiaTheme="minorHAnsi" w:hAnsiTheme="minorHAnsi"/>
          <w:b/>
          <w:bCs/>
          <w:sz w:val="22"/>
          <w:szCs w:val="22"/>
          <w:lang w:val="en-GB"/>
        </w:rPr>
        <w:t xml:space="preserve"> </w:t>
      </w:r>
      <w:r w:rsidRPr="005E2FE9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Pr="005E2FE9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ab/>
        <w:t xml:space="preserve">Предмет: 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Појашњење у вези јавне </w:t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Pr="005E2FE9">
        <w:rPr>
          <w:rFonts w:asciiTheme="minorHAnsi" w:hAnsiTheme="minorHAnsi"/>
          <w:sz w:val="22"/>
          <w:szCs w:val="22"/>
          <w:lang w:val="sr-Cyrl-CS"/>
        </w:rPr>
        <w:t xml:space="preserve">набавке УСЛУГЕ </w:t>
      </w:r>
      <w:r w:rsidRPr="005E2FE9">
        <w:rPr>
          <w:rFonts w:asciiTheme="minorHAnsi" w:hAnsiTheme="minorHAnsi"/>
          <w:sz w:val="22"/>
          <w:szCs w:val="22"/>
          <w:lang w:val="sr-Cyrl-RS"/>
        </w:rPr>
        <w:t xml:space="preserve">ЈЕДНОГОДИШЊЕГ </w:t>
      </w:r>
      <w:r w:rsidRPr="005E2FE9">
        <w:rPr>
          <w:rFonts w:asciiTheme="minorHAnsi" w:hAnsiTheme="minorHAnsi"/>
          <w:sz w:val="22"/>
          <w:szCs w:val="22"/>
          <w:lang w:val="en-GB"/>
        </w:rPr>
        <w:t xml:space="preserve">ОДРЖАВАЊА </w:t>
      </w:r>
      <w:r w:rsidRPr="005E2FE9">
        <w:rPr>
          <w:rFonts w:asciiTheme="minorHAnsi" w:hAnsiTheme="minorHAnsi"/>
          <w:sz w:val="22"/>
          <w:szCs w:val="22"/>
          <w:lang w:val="sr-Cyrl-RS"/>
        </w:rPr>
        <w:t xml:space="preserve">СЕРВЕРА ТИПА </w:t>
      </w:r>
      <w:r w:rsidRPr="005E2FE9">
        <w:rPr>
          <w:rFonts w:asciiTheme="minorHAnsi" w:hAnsiTheme="minorHAnsi"/>
          <w:sz w:val="22"/>
          <w:szCs w:val="22"/>
          <w:lang w:val="sr-Latn-RS"/>
        </w:rPr>
        <w:t>RAC</w:t>
      </w:r>
      <w:r w:rsidRPr="005E2FE9">
        <w:rPr>
          <w:rFonts w:asciiTheme="minorHAnsi" w:hAnsiTheme="minorHAnsi"/>
          <w:sz w:val="22"/>
          <w:szCs w:val="22"/>
          <w:lang w:val="sr-Cyrl-RS"/>
        </w:rPr>
        <w:t>К</w:t>
      </w:r>
      <w:r w:rsidRPr="005E2FE9">
        <w:rPr>
          <w:rFonts w:asciiTheme="minorHAnsi" w:hAnsiTheme="minorHAnsi"/>
          <w:sz w:val="22"/>
          <w:szCs w:val="22"/>
          <w:lang w:val="sr-Latn-RS"/>
        </w:rPr>
        <w:t xml:space="preserve"> SERVER DELL</w:t>
      </w:r>
      <w:r w:rsidRPr="005E2FE9">
        <w:rPr>
          <w:rFonts w:asciiTheme="minorHAnsi" w:hAnsiTheme="minorHAnsi"/>
          <w:sz w:val="22"/>
          <w:szCs w:val="22"/>
          <w:vertAlign w:val="superscript"/>
          <w:lang w:val="sr-Latn-RS"/>
        </w:rPr>
        <w:t>TM</w:t>
      </w:r>
      <w:r w:rsidRPr="005E2FE9">
        <w:rPr>
          <w:rFonts w:asciiTheme="minorHAnsi" w:hAnsiTheme="minorHAnsi"/>
          <w:sz w:val="22"/>
          <w:szCs w:val="22"/>
          <w:lang w:val="sr-Latn-RS"/>
        </w:rPr>
        <w:t xml:space="preserve"> POWEREDGE</w:t>
      </w:r>
      <w:r w:rsidRPr="005E2FE9">
        <w:rPr>
          <w:rFonts w:asciiTheme="minorHAnsi" w:hAnsiTheme="minorHAnsi"/>
          <w:sz w:val="22"/>
          <w:szCs w:val="22"/>
          <w:vertAlign w:val="superscript"/>
          <w:lang w:val="sr-Latn-RS"/>
        </w:rPr>
        <w:t>TM</w:t>
      </w:r>
      <w:r w:rsidRPr="005E2FE9">
        <w:rPr>
          <w:rFonts w:asciiTheme="minorHAnsi" w:hAnsiTheme="minorHAnsi"/>
          <w:sz w:val="22"/>
          <w:szCs w:val="22"/>
          <w:lang w:val="sr-Latn-RS"/>
        </w:rPr>
        <w:t xml:space="preserve"> R710, </w:t>
      </w:r>
      <w:r w:rsidRPr="005E2FE9">
        <w:rPr>
          <w:rFonts w:asciiTheme="minorHAnsi" w:hAnsiTheme="minorHAnsi"/>
          <w:sz w:val="22"/>
          <w:szCs w:val="22"/>
          <w:lang w:val="sr-Cyrl-RS"/>
        </w:rPr>
        <w:t>СОФТВЕРСКЕ ИНФРАСТРУКТУРЕ СЕРВЕРА И ПРАТЕЋЕ ОПРЕМЕ</w:t>
      </w:r>
      <w:r w:rsidRPr="005E2FE9">
        <w:rPr>
          <w:rFonts w:asciiTheme="minorHAnsi" w:hAnsiTheme="minorHAnsi"/>
          <w:sz w:val="22"/>
          <w:szCs w:val="22"/>
          <w:lang w:val="en-GB"/>
        </w:rPr>
        <w:t>,</w:t>
      </w:r>
      <w:r w:rsidRPr="005E2FE9">
        <w:rPr>
          <w:rFonts w:asciiTheme="minorHAnsi" w:hAnsiTheme="minorHAnsi"/>
          <w:sz w:val="22"/>
          <w:szCs w:val="22"/>
          <w:lang w:val="sr-Cyrl-RS"/>
        </w:rPr>
        <w:t xml:space="preserve"> ОБЛИКОВАНЕ ПО ПАРТИЈАМА ОД 1 ДО 4, ЈН ОП 5/15</w:t>
      </w:r>
    </w:p>
    <w:p w:rsidR="005E2FE9" w:rsidRPr="005E2FE9" w:rsidRDefault="005E2FE9" w:rsidP="005E2FE9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ab/>
        <w:t xml:space="preserve">Путем поште 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RS" w:eastAsia="ar-SA"/>
        </w:rPr>
        <w:t>1</w:t>
      </w:r>
      <w:r w:rsidRPr="004D273B">
        <w:rPr>
          <w:rFonts w:asciiTheme="minorHAnsi" w:eastAsiaTheme="minorHAnsi" w:hAnsiTheme="minorHAnsi"/>
          <w:bCs/>
          <w:sz w:val="22"/>
          <w:szCs w:val="22"/>
          <w:lang w:val="sr-Cyrl-RS" w:eastAsia="ar-SA"/>
        </w:rPr>
        <w:t>6</w:t>
      </w:r>
      <w:r w:rsidRPr="005E2FE9">
        <w:rPr>
          <w:rFonts w:asciiTheme="minorHAnsi" w:eastAsiaTheme="minorHAnsi" w:hAnsiTheme="minorHAnsi"/>
          <w:bCs/>
          <w:sz w:val="22"/>
          <w:szCs w:val="22"/>
          <w:lang w:val="sr-Latn-RS" w:eastAsia="ar-SA"/>
        </w:rPr>
        <w:t>.0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RS" w:eastAsia="ar-SA"/>
        </w:rPr>
        <w:t>3</w:t>
      </w:r>
      <w:r w:rsidRPr="005E2FE9">
        <w:rPr>
          <w:rFonts w:asciiTheme="minorHAnsi" w:eastAsiaTheme="minorHAnsi" w:hAnsiTheme="minorHAnsi"/>
          <w:bCs/>
          <w:sz w:val="22"/>
          <w:szCs w:val="22"/>
          <w:lang w:val="sr-Latn-RS" w:eastAsia="ar-SA"/>
        </w:rPr>
        <w:t xml:space="preserve">.2015. 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RS" w:eastAsia="ar-SA"/>
        </w:rPr>
        <w:t xml:space="preserve">године примили смо допис, којим заинтересовано лице  тражи појашњење у вези Конкурсне документације за 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јавне </w:t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Pr="005E2FE9">
        <w:rPr>
          <w:rFonts w:asciiTheme="minorHAnsi" w:hAnsiTheme="minorHAnsi"/>
          <w:sz w:val="22"/>
          <w:szCs w:val="22"/>
          <w:lang w:val="sr-Cyrl-CS"/>
        </w:rPr>
        <w:t xml:space="preserve">набавке УСЛУГЕ </w:t>
      </w:r>
      <w:r w:rsidRPr="005E2FE9">
        <w:rPr>
          <w:rFonts w:asciiTheme="minorHAnsi" w:hAnsiTheme="minorHAnsi"/>
          <w:sz w:val="22"/>
          <w:szCs w:val="22"/>
          <w:lang w:val="sr-Cyrl-RS"/>
        </w:rPr>
        <w:t xml:space="preserve">ЈЕДНОГОДИШЊЕГ </w:t>
      </w:r>
      <w:r w:rsidRPr="005E2FE9">
        <w:rPr>
          <w:rFonts w:asciiTheme="minorHAnsi" w:hAnsiTheme="minorHAnsi"/>
          <w:sz w:val="22"/>
          <w:szCs w:val="22"/>
          <w:lang w:val="en-GB"/>
        </w:rPr>
        <w:t xml:space="preserve">ОДРЖАВАЊА </w:t>
      </w:r>
      <w:r w:rsidRPr="005E2FE9">
        <w:rPr>
          <w:rFonts w:asciiTheme="minorHAnsi" w:hAnsiTheme="minorHAnsi"/>
          <w:sz w:val="22"/>
          <w:szCs w:val="22"/>
          <w:lang w:val="sr-Cyrl-RS"/>
        </w:rPr>
        <w:t xml:space="preserve">СЕРВЕРА ТИПА </w:t>
      </w:r>
      <w:r w:rsidRPr="005E2FE9">
        <w:rPr>
          <w:rFonts w:asciiTheme="minorHAnsi" w:hAnsiTheme="minorHAnsi"/>
          <w:sz w:val="22"/>
          <w:szCs w:val="22"/>
          <w:lang w:val="sr-Latn-RS"/>
        </w:rPr>
        <w:t>RAC</w:t>
      </w:r>
      <w:r w:rsidRPr="005E2FE9">
        <w:rPr>
          <w:rFonts w:asciiTheme="minorHAnsi" w:hAnsiTheme="minorHAnsi"/>
          <w:sz w:val="22"/>
          <w:szCs w:val="22"/>
          <w:lang w:val="sr-Cyrl-RS"/>
        </w:rPr>
        <w:t>К</w:t>
      </w:r>
      <w:r w:rsidRPr="005E2FE9">
        <w:rPr>
          <w:rFonts w:asciiTheme="minorHAnsi" w:hAnsiTheme="minorHAnsi"/>
          <w:sz w:val="22"/>
          <w:szCs w:val="22"/>
          <w:lang w:val="sr-Latn-RS"/>
        </w:rPr>
        <w:t xml:space="preserve"> SERVER DELL</w:t>
      </w:r>
      <w:r w:rsidRPr="005E2FE9">
        <w:rPr>
          <w:rFonts w:asciiTheme="minorHAnsi" w:hAnsiTheme="minorHAnsi"/>
          <w:sz w:val="22"/>
          <w:szCs w:val="22"/>
          <w:vertAlign w:val="superscript"/>
          <w:lang w:val="sr-Latn-RS"/>
        </w:rPr>
        <w:t>TM</w:t>
      </w:r>
      <w:r w:rsidRPr="005E2FE9">
        <w:rPr>
          <w:rFonts w:asciiTheme="minorHAnsi" w:hAnsiTheme="minorHAnsi"/>
          <w:sz w:val="22"/>
          <w:szCs w:val="22"/>
          <w:lang w:val="sr-Latn-RS"/>
        </w:rPr>
        <w:t xml:space="preserve"> POWEREDGE</w:t>
      </w:r>
      <w:r w:rsidRPr="005E2FE9">
        <w:rPr>
          <w:rFonts w:asciiTheme="minorHAnsi" w:hAnsiTheme="minorHAnsi"/>
          <w:sz w:val="22"/>
          <w:szCs w:val="22"/>
          <w:vertAlign w:val="superscript"/>
          <w:lang w:val="sr-Latn-RS"/>
        </w:rPr>
        <w:t>TM</w:t>
      </w:r>
      <w:r w:rsidRPr="005E2FE9">
        <w:rPr>
          <w:rFonts w:asciiTheme="minorHAnsi" w:hAnsiTheme="minorHAnsi"/>
          <w:sz w:val="22"/>
          <w:szCs w:val="22"/>
          <w:lang w:val="sr-Latn-RS"/>
        </w:rPr>
        <w:t xml:space="preserve"> R710, </w:t>
      </w:r>
      <w:r w:rsidRPr="005E2FE9">
        <w:rPr>
          <w:rFonts w:asciiTheme="minorHAnsi" w:hAnsiTheme="minorHAnsi"/>
          <w:sz w:val="22"/>
          <w:szCs w:val="22"/>
          <w:lang w:val="sr-Cyrl-RS"/>
        </w:rPr>
        <w:t>СОФТВЕРСКЕ ИНФРАСТРУКТУРЕ СЕРВЕРА И ПРАТЕЋЕ ОПРЕМЕ</w:t>
      </w:r>
      <w:r w:rsidRPr="005E2FE9">
        <w:rPr>
          <w:rFonts w:asciiTheme="minorHAnsi" w:hAnsiTheme="minorHAnsi"/>
          <w:sz w:val="22"/>
          <w:szCs w:val="22"/>
          <w:lang w:val="en-GB"/>
        </w:rPr>
        <w:t>,</w:t>
      </w:r>
      <w:r w:rsidRPr="005E2FE9">
        <w:rPr>
          <w:rFonts w:asciiTheme="minorHAnsi" w:hAnsiTheme="minorHAnsi"/>
          <w:sz w:val="22"/>
          <w:szCs w:val="22"/>
          <w:lang w:val="sr-Cyrl-RS"/>
        </w:rPr>
        <w:t xml:space="preserve"> ОБЛИКОВАНЕ ПО ПАРТИЈАМА ОД 1 ДО</w:t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 xml:space="preserve"> 4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, и то:</w:t>
      </w: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„</w:t>
      </w:r>
      <w:r w:rsidRPr="005E2FE9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>ПРЕДМЕТ: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  Захтев за појашњење конкурсне документације</w:t>
      </w: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ab/>
        <w:t xml:space="preserve">       набавка број </w:t>
      </w:r>
      <w:r w:rsidRPr="005E2FE9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>ЈН ОП 5/15</w:t>
      </w: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 (набавка услуга одржавања сервера)</w:t>
      </w: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5E2FE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Молимо за појашњење конкурсне документације.</w:t>
      </w:r>
    </w:p>
    <w:p w:rsidR="005E2FE9" w:rsidRPr="004D273B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bookmarkStart w:id="0" w:name="_GoBack"/>
      <w:bookmarkEnd w:id="0"/>
      <w:r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На страни 7/59 су наведени Обавезни услови за учешће у поступку јавне набавке из чл. 75. И 76. Закона о јавним набавкама.</w:t>
      </w:r>
    </w:p>
    <w:p w:rsidR="005E2FE9" w:rsidRPr="004D273B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</w:p>
    <w:p w:rsidR="005E2FE9" w:rsidRPr="004D273B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Под тачкама 1. до 4. су  наведена документа која су обавезни услови.</w:t>
      </w:r>
    </w:p>
    <w:p w:rsidR="005E2FE9" w:rsidRPr="004D273B" w:rsidRDefault="005E2FE9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 Молимо Вас да потврдите да, уколико је Понуђач уписан у регистар понуђача који води Агенција за привредне регистре, може у понуди да достави копију Решења о регистрацији у регистру понуђача који води Агенција за привредне регистре</w:t>
      </w:r>
      <w:r w:rsidR="00D529A1"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 као доказ о испуњености обавезних услова из чл. 75. </w:t>
      </w:r>
      <w:r w:rsidR="009678CC"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с</w:t>
      </w:r>
      <w:r w:rsidR="00D529A1"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тав 1. За наведене тачке 1-4, као и да наведе интернет адресу на којој се могу проверити поменути подаци.</w:t>
      </w:r>
    </w:p>
    <w:p w:rsidR="00D529A1" w:rsidRPr="004D273B" w:rsidRDefault="00D529A1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</w:p>
    <w:p w:rsidR="00D529A1" w:rsidRPr="005E2FE9" w:rsidRDefault="00D529A1" w:rsidP="005E2FE9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4D273B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Конкретно, молимо потврдите, да ли ће Решење о регистацији у регистру понуђача који води АПР бити прихваћено уместо достављања појединачних докумената наведених под тачкама 1. до. 4.?"</w:t>
      </w:r>
    </w:p>
    <w:p w:rsidR="005E2FE9" w:rsidRPr="005E2FE9" w:rsidRDefault="005E2FE9" w:rsidP="005E2FE9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Theme="minorHAnsi" w:hAnsiTheme="minorHAnsi"/>
          <w:color w:val="000000"/>
          <w:sz w:val="22"/>
          <w:szCs w:val="22"/>
          <w:lang w:val="sr-Latn-RS"/>
        </w:rPr>
      </w:pPr>
      <w:r w:rsidRPr="004D273B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</w:t>
      </w:r>
    </w:p>
    <w:p w:rsidR="005E2FE9" w:rsidRPr="005E2FE9" w:rsidRDefault="005E2FE9" w:rsidP="005E2FE9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Theme="minorHAnsi" w:hAnsiTheme="minorHAnsi"/>
          <w:b/>
          <w:color w:val="000000"/>
          <w:sz w:val="22"/>
          <w:szCs w:val="22"/>
          <w:lang w:val="sr-Cyrl-RS"/>
        </w:rPr>
      </w:pPr>
      <w:r w:rsidRPr="004D273B">
        <w:rPr>
          <w:rFonts w:asciiTheme="minorHAnsi" w:hAnsiTheme="minorHAnsi"/>
          <w:color w:val="000000"/>
          <w:sz w:val="22"/>
          <w:szCs w:val="22"/>
          <w:u w:val="single"/>
          <w:lang w:val="sr-Cyrl-RS"/>
        </w:rPr>
        <w:t xml:space="preserve"> </w:t>
      </w:r>
    </w:p>
    <w:p w:rsidR="005E2FE9" w:rsidRPr="005E2FE9" w:rsidRDefault="005E2FE9" w:rsidP="005E2FE9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Theme="minorHAnsi" w:hAnsiTheme="minorHAnsi"/>
          <w:b/>
          <w:bCs/>
          <w:color w:val="000000"/>
          <w:sz w:val="22"/>
          <w:szCs w:val="22"/>
          <w:lang w:val="sr-Cyrl-RS"/>
        </w:rPr>
      </w:pPr>
      <w:r w:rsidRPr="005E2FE9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</w:t>
      </w: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/>
          <w:bCs/>
          <w:iCs/>
          <w:sz w:val="22"/>
          <w:szCs w:val="22"/>
          <w:lang w:val="sr-Cyrl-RS" w:eastAsia="ar-SA"/>
        </w:rPr>
      </w:pPr>
      <w:r w:rsidRPr="005E2FE9">
        <w:rPr>
          <w:rFonts w:asciiTheme="minorHAnsi" w:eastAsiaTheme="minorHAnsi" w:hAnsiTheme="minorHAnsi"/>
          <w:b/>
          <w:bCs/>
          <w:iCs/>
          <w:sz w:val="22"/>
          <w:szCs w:val="22"/>
          <w:lang w:val="sr-Cyrl-RS" w:eastAsia="ar-SA"/>
        </w:rPr>
        <w:tab/>
      </w: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/>
          <w:bCs/>
          <w:iCs/>
          <w:sz w:val="22"/>
          <w:szCs w:val="22"/>
          <w:lang w:val="sr-Cyrl-RS" w:eastAsia="ar-SA"/>
        </w:rPr>
      </w:pPr>
      <w:r w:rsidRPr="005E2FE9">
        <w:rPr>
          <w:rFonts w:asciiTheme="minorHAnsi" w:eastAsiaTheme="minorHAnsi" w:hAnsiTheme="minorHAnsi"/>
          <w:b/>
          <w:bCs/>
          <w:iCs/>
          <w:sz w:val="22"/>
          <w:szCs w:val="22"/>
          <w:lang w:val="sr-Cyrl-RS" w:eastAsia="ar-SA"/>
        </w:rPr>
        <w:t>На основу члана 63. став 3. Закона о јавним набавкама („Службени гласник РС“, бр. 124/12 и 14/15) достављамо појашњење на постављена питања:</w:t>
      </w:r>
    </w:p>
    <w:p w:rsidR="005E2FE9" w:rsidRPr="005E2FE9" w:rsidRDefault="005E2FE9" w:rsidP="005E2FE9">
      <w:pPr>
        <w:jc w:val="both"/>
        <w:rPr>
          <w:rFonts w:asciiTheme="minorHAnsi" w:eastAsiaTheme="minorHAnsi" w:hAnsiTheme="minorHAnsi"/>
          <w:b/>
          <w:bCs/>
          <w:iCs/>
          <w:sz w:val="22"/>
          <w:szCs w:val="22"/>
          <w:lang w:val="sr-Cyrl-RS" w:eastAsia="ar-SA"/>
        </w:rPr>
      </w:pPr>
    </w:p>
    <w:p w:rsidR="005E2FE9" w:rsidRPr="004D273B" w:rsidRDefault="005E2FE9" w:rsidP="005E2FE9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Theme="minorHAnsi" w:hAnsiTheme="minorHAnsi"/>
          <w:b/>
          <w:color w:val="000000"/>
          <w:sz w:val="22"/>
          <w:szCs w:val="22"/>
          <w:u w:val="single"/>
          <w:lang w:val="sr-Cyrl-CS"/>
        </w:rPr>
      </w:pPr>
      <w:r w:rsidRPr="005E2FE9">
        <w:rPr>
          <w:rFonts w:asciiTheme="minorHAnsi" w:hAnsiTheme="minorHAnsi"/>
          <w:b/>
          <w:color w:val="000000"/>
          <w:sz w:val="22"/>
          <w:szCs w:val="22"/>
          <w:u w:val="single"/>
          <w:lang w:val="sr-Cyrl-CS"/>
        </w:rPr>
        <w:t>Одговор на питање</w:t>
      </w:r>
      <w:r w:rsidR="00D529A1" w:rsidRPr="004D273B">
        <w:rPr>
          <w:rFonts w:asciiTheme="minorHAnsi" w:hAnsiTheme="minorHAnsi"/>
          <w:b/>
          <w:color w:val="000000"/>
          <w:sz w:val="22"/>
          <w:szCs w:val="22"/>
          <w:u w:val="single"/>
          <w:lang w:val="sr-Cyrl-CS"/>
        </w:rPr>
        <w:t>:</w:t>
      </w:r>
      <w:r w:rsidRPr="005E2FE9">
        <w:rPr>
          <w:rFonts w:asciiTheme="minorHAnsi" w:hAnsiTheme="minorHAnsi"/>
          <w:b/>
          <w:color w:val="000000"/>
          <w:sz w:val="22"/>
          <w:szCs w:val="22"/>
          <w:u w:val="single"/>
          <w:lang w:val="sr-Cyrl-CS"/>
        </w:rPr>
        <w:t xml:space="preserve"> </w:t>
      </w:r>
      <w:r w:rsidR="00D529A1" w:rsidRPr="004D273B">
        <w:rPr>
          <w:rFonts w:asciiTheme="minorHAnsi" w:hAnsiTheme="minorHAnsi"/>
          <w:b/>
          <w:color w:val="000000"/>
          <w:sz w:val="22"/>
          <w:szCs w:val="22"/>
          <w:u w:val="single"/>
          <w:lang w:val="sr-Cyrl-CS"/>
        </w:rPr>
        <w:t xml:space="preserve"> </w:t>
      </w:r>
    </w:p>
    <w:p w:rsidR="001F5057" w:rsidRPr="004D273B" w:rsidRDefault="00174033" w:rsidP="001F5057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sz w:val="22"/>
          <w:szCs w:val="22"/>
          <w:lang w:val="en-GB"/>
        </w:rPr>
      </w:pPr>
      <w:r w:rsidRPr="004D273B">
        <w:rPr>
          <w:rFonts w:asciiTheme="minorHAnsi" w:hAnsiTheme="minorHAnsi" w:cs="Verdana"/>
          <w:sz w:val="22"/>
          <w:szCs w:val="22"/>
          <w:lang w:val="sr-Cyrl-RS"/>
        </w:rPr>
        <w:t xml:space="preserve"> </w:t>
      </w:r>
    </w:p>
    <w:p w:rsidR="006E627E" w:rsidRPr="004D273B" w:rsidRDefault="0014338F" w:rsidP="0014338F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iCs/>
          <w:sz w:val="22"/>
          <w:szCs w:val="22"/>
          <w:lang w:val="sr-Cyrl-RS"/>
        </w:rPr>
      </w:pPr>
      <w:r w:rsidRPr="004D273B">
        <w:rPr>
          <w:rFonts w:asciiTheme="minorHAnsi" w:hAnsiTheme="minorHAnsi" w:cs="Verdana"/>
          <w:sz w:val="22"/>
          <w:szCs w:val="22"/>
          <w:lang w:val="en-GB"/>
        </w:rPr>
        <w:t>На основу члана 78. став 5. и члана 79. став 5. ЗЈН лице уписано у регистрар понуђача није дужно да приликом подношења понуде доказује испуњеност обавезних услова (члан 75. став.1. тач.1. ЗЈН)</w:t>
      </w:r>
      <w:r w:rsidRPr="004D273B">
        <w:rPr>
          <w:rFonts w:asciiTheme="minorHAnsi" w:hAnsiTheme="minorHAnsi" w:cs="Verdana"/>
          <w:sz w:val="22"/>
          <w:szCs w:val="22"/>
          <w:lang w:val="sr-Cyrl-RS"/>
        </w:rPr>
        <w:t>,</w:t>
      </w:r>
      <w:r w:rsidRPr="004D273B">
        <w:rPr>
          <w:rFonts w:asciiTheme="minorHAnsi" w:hAnsiTheme="minorHAnsi" w:cs="Verdana"/>
          <w:sz w:val="22"/>
          <w:szCs w:val="22"/>
          <w:lang w:val="en-GB"/>
        </w:rPr>
        <w:t xml:space="preserve"> односно </w:t>
      </w:r>
      <w:r w:rsidRPr="004D273B">
        <w:rPr>
          <w:rFonts w:asciiTheme="minorHAnsi" w:hAnsiTheme="minorHAnsi" w:cs="Verdana"/>
          <w:sz w:val="22"/>
          <w:szCs w:val="22"/>
          <w:lang w:val="sr-Cyrl-RS"/>
        </w:rPr>
        <w:t xml:space="preserve">  </w:t>
      </w:r>
      <w:r w:rsidRPr="004D273B">
        <w:rPr>
          <w:rFonts w:asciiTheme="minorHAnsi" w:hAnsiTheme="minorHAnsi" w:cs="Verdana"/>
          <w:sz w:val="22"/>
          <w:szCs w:val="22"/>
          <w:lang w:val="en-GB"/>
        </w:rPr>
        <w:t xml:space="preserve">Наручилац не може одбити као неприхватљиву понуду зато што не садржи даказе одређене ЗЈН или Конкурсном документацијом, ако је понуђач навео у понуди интернет страницу на којој су тражени подаци јавно доступни. </w:t>
      </w:r>
      <w:r w:rsidRPr="004D273B">
        <w:rPr>
          <w:rFonts w:asciiTheme="minorHAnsi" w:hAnsiTheme="minorHAnsi" w:cs="Verdana"/>
          <w:b/>
          <w:iCs/>
          <w:sz w:val="22"/>
          <w:szCs w:val="22"/>
          <w:lang w:val="en-GB"/>
        </w:rPr>
        <w:t>Понуђач има обавезу да у својој понуди јасно наведе да се налази у регистру понуђача, уколико на тај начин жели да докаже испу</w:t>
      </w:r>
      <w:r w:rsidR="006E627E" w:rsidRPr="004D273B">
        <w:rPr>
          <w:rFonts w:asciiTheme="minorHAnsi" w:hAnsiTheme="minorHAnsi" w:cs="Verdana"/>
          <w:b/>
          <w:iCs/>
          <w:sz w:val="22"/>
          <w:szCs w:val="22"/>
          <w:lang w:val="sr-Cyrl-RS"/>
        </w:rPr>
        <w:t>њ</w:t>
      </w:r>
      <w:r w:rsidRPr="004D273B">
        <w:rPr>
          <w:rFonts w:asciiTheme="minorHAnsi" w:hAnsiTheme="minorHAnsi" w:cs="Verdana"/>
          <w:b/>
          <w:iCs/>
          <w:sz w:val="22"/>
          <w:szCs w:val="22"/>
          <w:lang w:val="en-GB"/>
        </w:rPr>
        <w:t xml:space="preserve">еност услова из члана 75. став 1. тач. 1) до 4) ЗЈН. </w:t>
      </w:r>
    </w:p>
    <w:p w:rsidR="005E2FE9" w:rsidRPr="005E2FE9" w:rsidRDefault="00B25AD8" w:rsidP="006E627E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iCs/>
          <w:sz w:val="22"/>
          <w:szCs w:val="22"/>
          <w:lang w:val="sr-Cyrl-RS"/>
        </w:rPr>
      </w:pPr>
      <w:r w:rsidRPr="004D273B">
        <w:rPr>
          <w:rFonts w:asciiTheme="minorHAnsi" w:hAnsiTheme="minorHAnsi" w:cs="Verdana"/>
          <w:sz w:val="22"/>
          <w:szCs w:val="22"/>
          <w:lang w:val="sr-Cyrl-RS"/>
        </w:rPr>
        <w:t xml:space="preserve">Поред навода интернет странице, у понуди, на којој су тражени подаци јавно доступни прихвата се и </w:t>
      </w:r>
      <w:r w:rsidR="00D26438" w:rsidRPr="004D273B">
        <w:rPr>
          <w:rFonts w:asciiTheme="minorHAnsi" w:hAnsiTheme="minorHAnsi" w:cs="Verdana"/>
          <w:sz w:val="22"/>
          <w:szCs w:val="22"/>
          <w:lang w:val="sr-Cyrl-RS"/>
        </w:rPr>
        <w:t xml:space="preserve">Решење о упису у Регистар понуђача </w:t>
      </w:r>
      <w:r w:rsidR="006E627E" w:rsidRPr="004D273B">
        <w:rPr>
          <w:rFonts w:asciiTheme="minorHAnsi" w:hAnsiTheme="minorHAnsi" w:cs="Verdana"/>
          <w:sz w:val="22"/>
          <w:szCs w:val="22"/>
          <w:lang w:val="sr-Cyrl-RS"/>
        </w:rPr>
        <w:t>као доказ и није потрбно достављати појединачна документа.</w:t>
      </w:r>
    </w:p>
    <w:p w:rsidR="005E2FE9" w:rsidRPr="005E2FE9" w:rsidRDefault="005E2FE9" w:rsidP="005E2FE9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Theme="minorHAnsi" w:hAnsiTheme="minorHAnsi"/>
          <w:b/>
          <w:color w:val="000000"/>
          <w:sz w:val="22"/>
          <w:szCs w:val="22"/>
          <w:u w:val="single"/>
          <w:lang w:val="sr-Cyrl-CS"/>
        </w:rPr>
      </w:pPr>
    </w:p>
    <w:p w:rsidR="005E2FE9" w:rsidRPr="005E2FE9" w:rsidRDefault="005E2FE9" w:rsidP="005E2FE9">
      <w:pPr>
        <w:rPr>
          <w:rFonts w:asciiTheme="minorHAnsi" w:eastAsiaTheme="minorHAnsi" w:hAnsiTheme="minorHAnsi"/>
          <w:sz w:val="22"/>
          <w:szCs w:val="22"/>
          <w:lang w:val="sr-Cyrl-RS"/>
        </w:rPr>
      </w:pP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  <w:t>Ова информација, сходно чл. 63. став 3. Закона о јавним набавкама објављује се на Порталу јавних набавки и на интернет страници Наручиоца</w:t>
      </w:r>
      <w:r w:rsidRPr="005E2FE9">
        <w:rPr>
          <w:rFonts w:asciiTheme="minorHAnsi" w:eastAsiaTheme="minorHAnsi" w:hAnsiTheme="minorHAnsi"/>
          <w:sz w:val="22"/>
          <w:szCs w:val="22"/>
          <w:lang w:val="sr-Latn-RS"/>
        </w:rPr>
        <w:t xml:space="preserve"> </w:t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 xml:space="preserve">и досатавља се заинтересованом лицу у писаном облику препорученом поштом са повратницом и на </w:t>
      </w:r>
      <w:r w:rsidRPr="005E2FE9">
        <w:rPr>
          <w:rFonts w:asciiTheme="minorHAnsi" w:eastAsiaTheme="minorHAnsi" w:hAnsiTheme="minorHAnsi"/>
          <w:sz w:val="22"/>
          <w:szCs w:val="22"/>
          <w:lang w:val="sr-Latn-RS"/>
        </w:rPr>
        <w:t xml:space="preserve">e-mail </w:t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>адресу.</w:t>
      </w:r>
    </w:p>
    <w:p w:rsidR="005E2FE9" w:rsidRPr="005E2FE9" w:rsidRDefault="005E2FE9" w:rsidP="005E2FE9">
      <w:pPr>
        <w:rPr>
          <w:rFonts w:asciiTheme="minorHAnsi" w:eastAsiaTheme="minorHAnsi" w:hAnsiTheme="minorHAnsi"/>
          <w:sz w:val="22"/>
          <w:szCs w:val="22"/>
          <w:lang w:val="sr-Cyrl-RS"/>
        </w:rPr>
      </w:pPr>
    </w:p>
    <w:p w:rsidR="005E2FE9" w:rsidRPr="005E2FE9" w:rsidRDefault="005E2FE9" w:rsidP="005E2FE9">
      <w:pPr>
        <w:rPr>
          <w:rFonts w:asciiTheme="minorHAnsi" w:eastAsiaTheme="minorHAnsi" w:hAnsiTheme="minorHAnsi"/>
          <w:sz w:val="22"/>
          <w:szCs w:val="22"/>
          <w:lang w:val="sr-Cyrl-RS"/>
        </w:rPr>
      </w:pPr>
    </w:p>
    <w:p w:rsidR="005E2FE9" w:rsidRPr="005E2FE9" w:rsidRDefault="005E2FE9" w:rsidP="005E2FE9">
      <w:pPr>
        <w:rPr>
          <w:rFonts w:asciiTheme="minorHAnsi" w:eastAsiaTheme="minorHAnsi" w:hAnsiTheme="minorHAnsi"/>
          <w:b/>
          <w:sz w:val="22"/>
          <w:szCs w:val="22"/>
          <w:lang w:val="sr-Cyrl-RS"/>
        </w:rPr>
      </w:pP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</w:r>
      <w:r w:rsidRPr="005E2FE9">
        <w:rPr>
          <w:rFonts w:asciiTheme="minorHAnsi" w:eastAsiaTheme="minorHAnsi" w:hAnsiTheme="minorHAnsi"/>
          <w:sz w:val="22"/>
          <w:szCs w:val="22"/>
          <w:lang w:val="sr-Cyrl-RS"/>
        </w:rPr>
        <w:tab/>
      </w:r>
      <w:r w:rsidRPr="005E2FE9">
        <w:rPr>
          <w:rFonts w:asciiTheme="minorHAnsi" w:eastAsiaTheme="minorHAnsi" w:hAnsiTheme="minorHAnsi"/>
          <w:b/>
          <w:sz w:val="22"/>
          <w:szCs w:val="22"/>
          <w:lang w:val="sr-Cyrl-RS"/>
        </w:rPr>
        <w:t>КОМИСИЈА ЗА ЈАВНУ НАБАВКУ</w:t>
      </w:r>
    </w:p>
    <w:p w:rsidR="005E2FE9" w:rsidRPr="005E2FE9" w:rsidRDefault="005E2FE9" w:rsidP="005E2FE9">
      <w:pPr>
        <w:rPr>
          <w:rFonts w:asciiTheme="minorHAnsi" w:hAnsiTheme="minorHAnsi"/>
          <w:sz w:val="22"/>
          <w:szCs w:val="22"/>
        </w:rPr>
      </w:pPr>
    </w:p>
    <w:p w:rsidR="00F75D13" w:rsidRPr="004D273B" w:rsidRDefault="00F75D13">
      <w:pPr>
        <w:rPr>
          <w:rFonts w:asciiTheme="minorHAnsi" w:hAnsiTheme="minorHAnsi"/>
          <w:sz w:val="22"/>
          <w:szCs w:val="22"/>
        </w:rPr>
      </w:pPr>
    </w:p>
    <w:sectPr w:rsidR="00F75D13" w:rsidRPr="004D273B" w:rsidSect="00896D97"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2F" w:rsidRDefault="00CF242F">
      <w:r>
        <w:separator/>
      </w:r>
    </w:p>
  </w:endnote>
  <w:endnote w:type="continuationSeparator" w:id="0">
    <w:p w:rsidR="00CF242F" w:rsidRDefault="00C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609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1A9" w:rsidRDefault="00967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4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1A9" w:rsidRDefault="00CF2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2F" w:rsidRDefault="00CF242F">
      <w:r>
        <w:separator/>
      </w:r>
    </w:p>
  </w:footnote>
  <w:footnote w:type="continuationSeparator" w:id="0">
    <w:p w:rsidR="00CF242F" w:rsidRDefault="00CF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E9"/>
    <w:rsid w:val="000934E1"/>
    <w:rsid w:val="00095EF8"/>
    <w:rsid w:val="00120397"/>
    <w:rsid w:val="0014338F"/>
    <w:rsid w:val="00174033"/>
    <w:rsid w:val="001F5057"/>
    <w:rsid w:val="00447A3F"/>
    <w:rsid w:val="004D273B"/>
    <w:rsid w:val="00542596"/>
    <w:rsid w:val="005E2FE9"/>
    <w:rsid w:val="006E627E"/>
    <w:rsid w:val="00783281"/>
    <w:rsid w:val="009678CC"/>
    <w:rsid w:val="00B25AD8"/>
    <w:rsid w:val="00B721F1"/>
    <w:rsid w:val="00CA0684"/>
    <w:rsid w:val="00CF242F"/>
    <w:rsid w:val="00CF7E37"/>
    <w:rsid w:val="00D26438"/>
    <w:rsid w:val="00D529A1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5E2F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FE9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E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5E2F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FE9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E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cp:lastPrinted>2015-03-16T10:54:00Z</cp:lastPrinted>
  <dcterms:created xsi:type="dcterms:W3CDTF">2015-03-16T10:22:00Z</dcterms:created>
  <dcterms:modified xsi:type="dcterms:W3CDTF">2015-03-16T13:27:00Z</dcterms:modified>
</cp:coreProperties>
</file>