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A451D2" w:rsidRPr="00A451D2" w:rsidTr="00A451D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A451D2" w:rsidRPr="00A451D2" w:rsidRDefault="00A451D2" w:rsidP="00A451D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A451D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A451D2" w:rsidRPr="00A451D2" w:rsidRDefault="00A451D2" w:rsidP="00A451D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A451D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SADRŽINI I NAČINU VOĐENJA KATASTRA RIBOLOVNIH VODA</w:t>
            </w:r>
          </w:p>
          <w:p w:rsidR="00A451D2" w:rsidRPr="00A451D2" w:rsidRDefault="00A451D2" w:rsidP="00A451D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A451D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3/2016)</w:t>
            </w:r>
          </w:p>
        </w:tc>
      </w:tr>
    </w:tbl>
    <w:p w:rsidR="00A451D2" w:rsidRPr="00A451D2" w:rsidRDefault="00A451D2" w:rsidP="00A451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A451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Ovim pravilnikom bliže se propisuje sadržina i način vođenja katastra ribolovnih voda (u daljem tekstu: Katastar). </w:t>
      </w:r>
    </w:p>
    <w:p w:rsidR="00A451D2" w:rsidRPr="00A451D2" w:rsidRDefault="00A451D2" w:rsidP="00A451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A451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Katastar sadrži posebne tabele u koje se upisuju podaci o tekućim i stajaćim (prirodnim i veštačkim) ribolovnim vodama. </w:t>
      </w:r>
    </w:p>
    <w:p w:rsidR="00A451D2" w:rsidRPr="00A451D2" w:rsidRDefault="00A451D2" w:rsidP="00A451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A451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Tabela o tekućim ribolovnim vodama sadrži podatke o rekama i kanalima i to: naziv vodotoka, ribarsko područje kome vodotok pripada, jedinice lokalne samouprave kroz koje vodotok protiče, režim ribolova, posebna staništa riba, sastav ribljeg fonda i napomene.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Tabela o stajaćim ribolovnim vodama sadrži podatke o prirodnim i veštačkim jezerima, barama i mrtvajama, i to: naziv i vrstu stajaće vode, ribarsko područje kome voda pripada, jedinice lokalne samouprave na kojima se voda prostire, površinu i namenu stajaće vode, režim ribolova, posebna staništa riba, sastav ribljeg fonda i napomene. </w:t>
      </w:r>
    </w:p>
    <w:p w:rsidR="00A451D2" w:rsidRPr="00A451D2" w:rsidRDefault="00A451D2" w:rsidP="00A451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A451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Katastar se vodi u elektronskoj formi.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Podaci u tabeli o tekućim ribolovnim vodama, upisuju se po rečnim slivovima.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Podaci o sastavu ribljeg fonda upisuju se u Katastar na osnovu podataka dobijenih istraživanjima ribljeg fonda u procesu izrade Programa upravljanja ribarskim područjem i monitoringa kvalitativnog sastava i uzrasne strukture ribljeg fonda, biomase, produkcije i ribolovnog pritiska na riblji fond.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Podaci o propisanim merama i režimima ribolova na ribolovnim vodama upisuju se u Katastar, u skladu sa merama propisanim Programom upravljanja ribarskim područjem i Godišnjim programom upravljanja ribarskim područjem.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O promenama podataka koje sadrži Katastar obaveštava se ministarstvo nadležno za poslove zaštitite životne sredine. </w:t>
      </w:r>
    </w:p>
    <w:p w:rsidR="00A451D2" w:rsidRPr="00A451D2" w:rsidRDefault="00A451D2" w:rsidP="00A451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A451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A451D2" w:rsidRPr="00A451D2" w:rsidRDefault="00A451D2" w:rsidP="00A451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A451D2">
        <w:rPr>
          <w:rFonts w:ascii="Arial" w:eastAsia="Times New Roman" w:hAnsi="Arial" w:cs="Arial"/>
          <w:lang w:eastAsia="sr-Latn-RS"/>
        </w:rPr>
        <w:t xml:space="preserve">Ovaj pravilnik stupa na snagu narednog dana od dana objavljivanja u "Službenom glasniku Republike Srbije". </w:t>
      </w:r>
    </w:p>
    <w:p w:rsidR="00605CE0" w:rsidRDefault="00A451D2">
      <w:bookmarkStart w:id="5" w:name="_GoBack"/>
      <w:bookmarkEnd w:id="5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D2"/>
    <w:rsid w:val="00373405"/>
    <w:rsid w:val="00A451D2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451D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451D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451D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451D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451D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451D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451D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A451D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A451D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A451D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2016-01-26T07:23:00Z</dcterms:created>
  <dcterms:modified xsi:type="dcterms:W3CDTF">2016-01-26T07:24:00Z</dcterms:modified>
</cp:coreProperties>
</file>