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92"/>
      </w:tblGrid>
      <w:tr w:rsidR="007E37A1" w:rsidRPr="007E37A1" w:rsidTr="007E37A1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E37A1" w:rsidRPr="007E37A1" w:rsidRDefault="007E37A1" w:rsidP="007E37A1">
            <w:pPr>
              <w:spacing w:after="0" w:line="48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  <w:lang w:eastAsia="sr-Latn-RS"/>
              </w:rPr>
              <w:t>PRAVILNIK</w:t>
            </w:r>
          </w:p>
          <w:p w:rsidR="007E37A1" w:rsidRPr="007E37A1" w:rsidRDefault="007E37A1" w:rsidP="007E37A1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  <w:lang w:eastAsia="sr-Latn-RS"/>
              </w:rPr>
              <w:t>O LISTI POPs MATERIJA, NAČINU I POSTUPKU ZA UPRAVLJANJE POPs OTPADOM I GRANIČNIM VREDNOSTIMA KONCENTRACIJA POPs MATERIJA KOJE SE ODNOSE NA ODLAGANJE OTPADA KOJI SADRŽI ILI JE KONTAMINIRAN POPs MATERIJAMA</w:t>
            </w:r>
          </w:p>
          <w:p w:rsidR="007E37A1" w:rsidRPr="007E37A1" w:rsidRDefault="007E37A1" w:rsidP="007E37A1">
            <w:pPr>
              <w:shd w:val="clear" w:color="auto" w:fill="000000"/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  <w:lang w:eastAsia="sr-Latn-RS"/>
              </w:rPr>
              <w:t>("Sl. glasnik RS", br. 65/2011 i 17/2017)</w:t>
            </w:r>
          </w:p>
        </w:tc>
      </w:tr>
    </w:tbl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0" w:name="clan_1"/>
      <w:bookmarkEnd w:id="0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Ovim pravilnikom propisuje se: lista POPs materija, način i postupak za upravljanje POPs otpadom i granične vrednosti koncentracija POPs materija koje se odnose na odlaganje otpada koji sadrži ili je kontaminiran POPs materijama.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1" w:name="clan_2"/>
      <w:bookmarkEnd w:id="1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2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Odredbe ovog pravilnika primenjuju se na otpad koji sadrži, sastoji se ili je kontaminiran POPs materijama (u daljem tekstu: POPs otpad), i to: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1) otpadnu električnu i elektronsku opremu koja sadrži PCB, uključujući i otpad koji nastaje prilikom rasklapanja električne i elektronske opreme koji sadrži POPs materije i otpadna ulja koja sadrže PCB;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2) građevinski otpad i otpad od rušenja koji sadrži PCB, uključujući i iskopan materijal kontaminiran sa PCB;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3) otpadne POPs pesticide;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4) zalihe PFOS i PBDE i otpad kontaminiran sa PFOS i PBDE;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5) otpad kontaminiran nenamerno proizvedenim POPs materijama.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2" w:name="clan_3"/>
      <w:bookmarkEnd w:id="2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3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Način upravljanja POPs otpadom mora biti takav da se: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1) spreči ispuštanje POPs materija u životnu sredinu i kontaminacija drugih otpada POPs materijama;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2) pakovanje POPs otpada obezbedi od curenja, oštećenja, rđe ili visoke temperature, odnosno vrši prepakivanje i ponovno označavanje po potrebi;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3) preduzmu adekvatne mere kako ne bi došlo do prosipanja POPs otpada;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4) postave zaštitne podloge ispod upakovanog otpada;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lastRenderedPageBreak/>
        <w:t xml:space="preserve">5) uklanjanje tečnog otpada vrši pumpama i pogodnim hemijski otpornim cevima, namenjenim samo za rukovanje sa POPs otpadom;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6) čišćenje kontaminiranih površina vrši trostrukim ispiranjem sa odgovarajućim organskim rastvaračem;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7) se vrši tretiranje svih apsorbenata i rastvarača iz ispiranja, upotrebljene jednokratne zaštitne odeće i plastične folije kada su kontaminirani POPs materijama.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Pri upravljanju POPs otpadom preduzimaju se mere, potrebne za sprečavanje dalje kontaminacije POPs materijama.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Lista POPs materija i granične vrednosti koncentracija POPs materija koje se odnose na odlaganje POPs otpada data je u Prilogu 1. - Lista POPs materija i granične vrednosti koncentracija POPs materija koje se odnose na odlaganje otpada koji sadrži, sastoji se ili je kontaminiran POPs materijama (POPs otpad), koji je odštampan uz ovaj pravilnik i čini njegov sastavni deo.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3" w:name="clan_4"/>
      <w:bookmarkEnd w:id="3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4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Sakupljanje POPs otpada vrši se tako da se: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1) odvojeno sakuplja od ostalih vrsta otpada;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2) obezbedi odgovarajuća pakovanja za transport, a posebno otpada koji zahteva da se prepakuje i da se transport odvija pod bezbednim uslovima;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3) obezbedi predaja otpada na skladištenje, odnosno tretman, u skladu sa zakonom kojim se uređuje upravljanje otpadom.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Sakupljanje POPs otpada iz stava 1. ovog člana vrši se prema operativnim programima i dinamici, odnosno odgovarajućim rokovima kojima se obezbeđuje prikupljanje svih vrsta POPs otpada.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sakupljen od proizvođača, odnosno vlasnika tog otpada transportuje se do centra za sakupljanje, skladištenje, transfer stanice ili postrojenja za tretman ili odlaganje otpada.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4" w:name="clan_5"/>
      <w:bookmarkEnd w:id="4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5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Pakovanje POPs otpada vrši se za transport i za skladištenje.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treba da bude propisno upakovan za transport sa sigurnosnim merama za smanjenje rizika od curenja i prosipanja.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Pakovanje POPs otpada za transport može se koristiti i za njegovo skladištenje.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u u svom originalnom pakovanju bezbedan je za skladištenje, ako je pakovanje u dobrom stanju.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Uređaji van upotrebe koji sadrže ili su kontaminirani POPs materijama mogu se koristiti kao pakovanje za skladištenje.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lastRenderedPageBreak/>
        <w:t xml:space="preserve">Transformatori koji sadrže PCB prazne se od tečnosti, a sa kondenzatorima koji sadrže PCB postupa se kao sa upakovanim POPs otpadom.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Otpad kontaminiran POPs materijama može se smestiti u skladište, pri čemu podloga skladišta treba da bude takva da se mogu preduzeti mere zaštite, uključujući i mere sprečavanja izbijanja požara.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se pakuje i označava na propisan način u pogledu vrste i stanja POPs materija, kao i nivoa opasnosti, u skladu sa propisom kojim se uređuje pakovanje i označavanje opasnog otpada.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5" w:name="clan_6"/>
      <w:bookmarkEnd w:id="5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6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Transport POPs otpada vrši se u skladu sa zakonom kojim se uređuje prevoz opasnih tereta i dozvolom za transport opasnog otpada, izdatom na osnovu zakona kojim se uređuje upravljanje otpadom.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Transport neopasnog otpada koji ima karakteristike POPs otpada obavlja se adekvatno opremljenim vozilima u skladu sa dozvolom za transport neopasnog otpada izdatom na osnovu zakona kojim se uređuje upravljanje otpadom, odnosno tako da se spreči rasipanje ili ispadanje otpada prilikom transporta, utovara i istovara, odnosno zagađenje vazduha, vode, zemljišta i životne sredine.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6" w:name="clan_7"/>
      <w:bookmarkEnd w:id="6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7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Skladištenje POPs otpada vrši se u skladu sa zakonom kojim se uređuje upravljanje otpadom i propisom kojim se uređuje skladištenje opasnog otpada.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Skladište POPs otpada označava se kao mesto za skladištenje POPs otpada.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Prostor za skladištenje treba da bude projektovan, izgrađen i opremljen tako da se spreči emisija POPs materija u životnu sredinu.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Otpad kontaminiran POPs materijama nastalim prilikom dekontaminacije čuva se na nepropusnoj podlozi, pre konačnog odlaganja.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Tečni POPs otpad stavlja se u posude koje sprečavaju njegovo curenje u životnu sredinu.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u praškastom stanju čuva se u zatvorenom pakovanju.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u rasutom stanju skladišti se u posebnim kontejnerima za transport.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7" w:name="clan_8"/>
      <w:bookmarkEnd w:id="7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8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otpad odlaže se ili ponovo iskorišćava tako da se osigura uništenje sadržaja POPs materija ili nepovratno transformiše, odnosno da preostali otpad i ispuštanja ne pokazuju karakteristike POPs materija.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Tretman, odnosno odlaganje POPs otpada vrši se propisanim postupcima ili metodama odlaganja u skladu sa propisom kojim se uređuju kategorije, ispitivanje i klasifikacija otpada (D lista - Operacije odlaganja i R lista - Operacije ponovnog iskorišćenja), i to: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1) D9 - fizičko hemijski tretman;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lastRenderedPageBreak/>
        <w:t xml:space="preserve">2) D10 - spaljivanje na zemlji;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3) R1 - korišćenje prvenstveno kao gorivo ili za proizvodnju energije, isključujući otpad koji sadrži PCB;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4) R3 - reciklaža/prerada organskih materija koje se ne koriste kao rastvarači, ograničena na otpad za konverziju gasa;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5) R4 - reciklaža/prerada metala i jedinjenja metala, ograničena na aktivnosti primarne i sekundarne metalurgije, kada su dostignute granične vrednosti emisije za nenamerno proizvedene POPs materije.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Izuzetno, POPs koji sadrži, sastoji se ili je kontaminiran bilo kojom POPs materijom iz Priloga 1. ovog pravilnika, može biti stabilizovan i odložen na deponiju opasnog otpada (D5 operacija) ili odložen u odgovarajućem podzemnom skladištu (D12 operacija), tako da obezbedi da se ne ispuštaju gasovi sa efektom staklene bašte i nenamerno proizvedene POPs materije, u skladu sa graničnim vrednostima koncentracija utvrđenim u Prilogu 2. - Lista otpada koji sadrži, sastoji se ili je kontaminiran POPs materijama za koji se može primeniti alternativno odlaganje, koji je odštampan uz ovaj pravilnik i čini njegov sastavni deo.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Pri odlaganju ili ponovnom iskorišćenju može se izolovati bilo koja POPs materija iz Priloga 1. ovog pravilnika.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POPs materije koje su izolovane iz otpada u skladu sa stavom 4. ovog člana naknadno se odlažu u skladu sa operacijama D9 i D10 iz stava 2. tač. 1) i 2) ovog člana.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8" w:name="clan_9"/>
      <w:bookmarkEnd w:id="8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9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Lice koje vrši tretman ili odlaganje POPs otpada, u skladu sa zakonom, obezbeđuje da ostaci posle tretmana nemaju karakteristike POPs materija. </w:t>
      </w:r>
    </w:p>
    <w:p w:rsidR="007E37A1" w:rsidRPr="007E37A1" w:rsidRDefault="007E37A1" w:rsidP="007E37A1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sr-Latn-RS"/>
        </w:rPr>
      </w:pPr>
      <w:bookmarkStart w:id="9" w:name="clan_10"/>
      <w:bookmarkEnd w:id="9"/>
      <w:r w:rsidRPr="007E37A1">
        <w:rPr>
          <w:rFonts w:ascii="Arial" w:eastAsia="Times New Roman" w:hAnsi="Arial" w:cs="Arial"/>
          <w:b/>
          <w:bCs/>
          <w:sz w:val="24"/>
          <w:szCs w:val="24"/>
          <w:lang w:eastAsia="sr-Latn-RS"/>
        </w:rPr>
        <w:t xml:space="preserve">Član 10 </w:t>
      </w:r>
    </w:p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 xml:space="preserve">Ovaj pravilnik stupa na snagu osmog dana od dana objavljivanja u "Službenom glasniku Republike Srbije". </w:t>
      </w:r>
    </w:p>
    <w:p w:rsidR="007E37A1" w:rsidRPr="007E37A1" w:rsidRDefault="007E37A1" w:rsidP="007E37A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E37A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7E37A1" w:rsidRPr="007E37A1" w:rsidRDefault="007E37A1" w:rsidP="007E37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0" w:name="str_1"/>
      <w:bookmarkEnd w:id="10"/>
      <w:r w:rsidRPr="007E37A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Prilog 1</w:t>
      </w:r>
    </w:p>
    <w:p w:rsidR="007E37A1" w:rsidRPr="007E37A1" w:rsidRDefault="007E37A1" w:rsidP="007E37A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E37A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7E37A1" w:rsidRPr="007E37A1" w:rsidRDefault="007E37A1" w:rsidP="007E37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1" w:name="str_2"/>
      <w:bookmarkEnd w:id="11"/>
      <w:r w:rsidRPr="007E37A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 xml:space="preserve">LISTA POPs MATERIJA I GRANIČNE VREDNOSTI KONCENTRACIJA POPs MATERIJA KOJE SE ODNOSE NA ODLAGANJE OTPADA KOJI SADRŽI, SASTOJI SE ILI JE KONTAMINIRAN POPs MATERIJAMA (POPs OTPAD) </w:t>
      </w:r>
    </w:p>
    <w:p w:rsidR="007E37A1" w:rsidRPr="007E37A1" w:rsidRDefault="007E37A1" w:rsidP="007E37A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E37A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319"/>
        <w:gridCol w:w="1384"/>
        <w:gridCol w:w="1123"/>
        <w:gridCol w:w="1681"/>
        <w:gridCol w:w="1685"/>
      </w:tblGrid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Supstanca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CAS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EC broj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Granična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koncentracija POPs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Granična koncentracija za alternativno odlaganje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(D5 operacija)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Heksabromciklododekan (HBCDD) - predstavlja: heksabromciklododekan, 1,2,5,6,9,10 heksabromciklododekan i njegovi glavni diastereoizomeri: alfa-heksabromciklododekan, beta-heksabromciklododekan i gama- heksabromciklododekan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25637-99-4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3194-55-6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134237-50-6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134237-51-7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134237-52-8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247-148-4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221-695-9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1.000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Endosulfan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115-29-7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959-98-8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33213-65-9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204-079-4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Heksahlorbutadien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87-68-3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201-765-5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Polihlorovani naftaleni - hemijska jedinjenja sastavljena od naftalenskog prstena na kome su atomi vodonika supstituisani atomima hlora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Hlorovani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10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-C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13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 alkani (short-chain chlorinated paraffins, SCCPs)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85535-84-8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287-476-5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10.000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Aldrin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309-00-2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206-215-8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Hlordan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57-74-9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200-349-0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Dieldrin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60-57-1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200-484-5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Endrin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72-20-8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200-775-7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Heptahlor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76-44-8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200-962-3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Heksahlorbenzen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118-74-1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200-273-9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Mireks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2385-85-5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219-196-6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Toksafen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8001-35-2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232-283-3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Polihlorovani bifenili (PCB)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1336-36-3 i ostali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215-648-1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mg/kg*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DDT (1,1,1-trihlor-2,2-bis (4-hlorfenil) etan)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50-29-3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200-024-3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Hlordekon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143-50-0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205-601-3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Heksahlorcikloheksani, uključujući lindan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58-89-9,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319-84-6,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319-85-7,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608-73-1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210-168-9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200-401-2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206-270-8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206-271-3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Polihlorovani dibenzo-p-dioksini i dibenzofurani (PCDD/PCDF)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15 µg TE/kg (**)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 mg TE/kg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Heksabrombifenil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36355-01-8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252-994-2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Tetrabromdifenil etar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Ukupna (zbirna) koncentracija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O,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 i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O: 1.000 mg/kg;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Ukupna (zbirna) koncentracija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O,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 i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O: 10.000 mg/kg;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Pentabromdifenil etar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Heksabromdifenil etar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Heptabromdifenil etar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Perfluoroktan sulfonska kiselina i njeni derivati (PFOS)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8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F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SO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X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(X = OH, so metala (O-M+), halidi, amidi, i ostali derivati uključujući polimere)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Pentahlorbenzen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608-93-5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210-172-5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50 mg/kg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5.000 mg/kg </w:t>
            </w:r>
          </w:p>
        </w:tc>
      </w:tr>
    </w:tbl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>_______________</w:t>
      </w:r>
      <w:r w:rsidRPr="007E37A1">
        <w:rPr>
          <w:rFonts w:ascii="Arial" w:eastAsia="Times New Roman" w:hAnsi="Arial" w:cs="Arial"/>
          <w:lang w:eastAsia="sr-Latn-RS"/>
        </w:rPr>
        <w:br/>
        <w:t>(*) Primenjuje se metod izračunavanja sadržan u SRPS EN 12766-1: 2011 i SRPS EN 12766-2:2011.</w:t>
      </w:r>
      <w:r w:rsidRPr="007E37A1">
        <w:rPr>
          <w:rFonts w:ascii="Arial" w:eastAsia="Times New Roman" w:hAnsi="Arial" w:cs="Arial"/>
          <w:lang w:eastAsia="sr-Latn-RS"/>
        </w:rPr>
        <w:br/>
        <w:t xml:space="preserve">(**) Ekvivalentna toksičnost (TE) PCDD i PCDF se izračunava na osnovu sledećih faktora ekvivalentne toksičnosti (TEF).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515"/>
        <w:gridCol w:w="3677"/>
      </w:tblGrid>
      <w:tr w:rsidR="007E37A1" w:rsidRPr="007E37A1" w:rsidTr="007E37A1">
        <w:trPr>
          <w:tblCellSpacing w:w="0" w:type="dxa"/>
        </w:trPr>
        <w:tc>
          <w:tcPr>
            <w:tcW w:w="3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PCDD 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TEF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2,3,7,8-TeCDD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1,2,3,7,8-PeCDD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1,2,3,4,7,8-HxCDD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1,2,3,6,7,8-HxCDD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1,2,3,7,8,9-HxCDD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1,2,3,4,6,7,8-HpCDD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0,0003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TEF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2,3,7,8-TeCDF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1,2,3,7,8-PeCDF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2,3,4,7,8-PeCDF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0,3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1,2,3,4,7,8-HxCDF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TEF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1,2,3,6,7,8-HxCDF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1,2,3,7,8,9-HxCDF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2,3,4,6,7,8-HxCDF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1,2,3,4,6,7,8-HpCDF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1,2,3,4,7,8,9-HpCDF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0,0003 </w:t>
            </w:r>
          </w:p>
        </w:tc>
      </w:tr>
    </w:tbl>
    <w:p w:rsidR="007E37A1" w:rsidRPr="007E37A1" w:rsidRDefault="007E37A1" w:rsidP="007E37A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E37A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7E37A1" w:rsidRPr="007E37A1" w:rsidRDefault="007E37A1" w:rsidP="007E37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2" w:name="str_3"/>
      <w:bookmarkEnd w:id="12"/>
      <w:r w:rsidRPr="007E37A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t>Prilog 2</w:t>
      </w:r>
    </w:p>
    <w:p w:rsidR="007E37A1" w:rsidRPr="007E37A1" w:rsidRDefault="007E37A1" w:rsidP="007E37A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E37A1">
        <w:rPr>
          <w:rFonts w:ascii="Arial" w:eastAsia="Times New Roman" w:hAnsi="Arial" w:cs="Arial"/>
          <w:sz w:val="26"/>
          <w:szCs w:val="26"/>
          <w:lang w:eastAsia="sr-Latn-RS"/>
        </w:rPr>
        <w:t xml:space="preserve">  </w:t>
      </w:r>
    </w:p>
    <w:p w:rsidR="007E37A1" w:rsidRPr="007E37A1" w:rsidRDefault="007E37A1" w:rsidP="007E37A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sr-Latn-RS"/>
        </w:rPr>
      </w:pPr>
      <w:bookmarkStart w:id="13" w:name="str_4"/>
      <w:bookmarkEnd w:id="13"/>
      <w:r w:rsidRPr="007E37A1">
        <w:rPr>
          <w:rFonts w:ascii="Arial" w:eastAsia="Times New Roman" w:hAnsi="Arial" w:cs="Arial"/>
          <w:b/>
          <w:bCs/>
          <w:sz w:val="29"/>
          <w:szCs w:val="29"/>
          <w:lang w:eastAsia="sr-Latn-RS"/>
        </w:rPr>
        <w:lastRenderedPageBreak/>
        <w:t xml:space="preserve">LISTA OTPADA KOJI SADRŽI, SASTOJI SE ILI JE KONTAMINIRAN POPs MATERIJAMA ZA KOJI SE MOŽE PRIMENITI ALTERNATIVNO ODLAGANJE </w:t>
      </w:r>
    </w:p>
    <w:p w:rsidR="007E37A1" w:rsidRPr="007E37A1" w:rsidRDefault="007E37A1" w:rsidP="007E37A1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sr-Latn-RS"/>
        </w:rPr>
      </w:pPr>
      <w:r w:rsidRPr="007E37A1">
        <w:rPr>
          <w:rFonts w:ascii="Arial" w:eastAsia="Times New Roman" w:hAnsi="Arial" w:cs="Arial"/>
          <w:sz w:val="26"/>
          <w:szCs w:val="26"/>
          <w:lang w:eastAsia="sr-Latn-RS"/>
        </w:rPr>
        <w:t> 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429"/>
        <w:gridCol w:w="2862"/>
        <w:gridCol w:w="3237"/>
        <w:gridCol w:w="1664"/>
      </w:tblGrid>
      <w:tr w:rsidR="007E37A1" w:rsidRPr="007E37A1" w:rsidTr="007E37A1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Klasifikacija otpada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Maksimalna granična koncentracija supstanci (1)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Operacija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TERMIČKIH PROCESA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Aldrin: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Hlordan: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Hlordekon: 5.000 mg/kg;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DDT (1,1,1-trihlor-2,2-bis (4-hlorfeniletan)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Hlorovani 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10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-S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13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 xml:space="preserve"> alkani (short-chain chlorinated paraffins, SCCPs): 10.000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Dieldrin: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Endosulfan: 5.000 mg/kg;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Endrin: 5.000 mg/kg; </w:t>
            </w:r>
          </w:p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Heptahlor: 5.000 mg/kg;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Heksabrombifenil: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Heksabromciklododekan (HBCDD)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heksabromciklododekan, 1,2,5,6,9,10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heksabromciklododekan i njegovi glavni diastereoizomeri: alfa-heksabromciklododekan, beta-heksabromciklododekan i gama- heksabromciklododekan: 1.000 mg/kg; </w:t>
            </w:r>
          </w:p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Heksahlorbenzen: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Heksahlorbutadien: 1.000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Heksahlorcikloheksani, uključujući lindan: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Mireks: 5.000 mg/kg; </w:t>
            </w:r>
          </w:p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Pentahlorbenzen: 5.000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Perfluoroktan sulfonska kiselina i njeni derivati (PFOS) (C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8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F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SO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X) (X = OH, soli metala (O-M+), halid, amid, i ostali derivati uključujući polimere): 50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Polihlorovani naftaleni - hemijska jedinjenja sastavljena od naftalenskog prstena na kome su atomi vodonika supstituisani atomima hlora: </w:t>
            </w: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1.000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Ukupna (zbirna) koncentracija tetrabromdifeniletra (C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O), pentabromdifeniletra (C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5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O), heksabromdifeniletra (C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4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6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O) i heptabromdifeniletra (C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12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H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3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Br</w:t>
            </w:r>
            <w:r w:rsidRPr="007E37A1">
              <w:rPr>
                <w:rFonts w:ascii="Arial" w:eastAsia="Times New Roman" w:hAnsi="Arial" w:cs="Arial"/>
                <w:sz w:val="15"/>
                <w:szCs w:val="15"/>
                <w:vertAlign w:val="subscript"/>
                <w:lang w:eastAsia="sr-Latn-RS"/>
              </w:rPr>
              <w:t>7</w:t>
            </w:r>
            <w:r w:rsidRPr="007E37A1">
              <w:rPr>
                <w:rFonts w:ascii="Arial" w:eastAsia="Times New Roman" w:hAnsi="Arial" w:cs="Arial"/>
                <w:lang w:eastAsia="sr-Latn-RS"/>
              </w:rPr>
              <w:t>O): 10.000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Polihlorovani bifenili (PCB) (3):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50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Polihlorovani dibenzo-p-dioksini i dibenzofurani (PCDD/PCDF) (4):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5 mg/kg;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Toksafeon: 5.000 mg/kg;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>Trajno skladištenje će biti dozvoljeno samo kada su ispunjeni svi sledeći uslovi: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1. Mesto za skladištenje se nalazi na jednoj od sledećih lokacija: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- bezbedno, duboko, ispod zemlje, formacije od tvrde stene,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- rudnici soli,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- deponije za opasan otpad, pod uslovom da se otpad učvrstio ili delimično stabilizovao;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>2. Da je u skladu sa zakonom kojim se uređuje skladištenje opasnog otpada;</w:t>
            </w:r>
            <w:r w:rsidRPr="007E37A1">
              <w:rPr>
                <w:rFonts w:ascii="Arial" w:eastAsia="Times New Roman" w:hAnsi="Arial" w:cs="Arial"/>
                <w:lang w:eastAsia="sr-Latn-RS"/>
              </w:rPr>
              <w:br/>
              <w:t xml:space="preserve">3. Da je dokazano da je izabrani način ekološki bolji.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energana i drugih postrojenja za sagorevanje (osim 19)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01 14* (2)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šljaka i prašina iz kotla iz procesa ko-spaljivanja, koja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01 16*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leteći pepeo iz procesa ko-spaljivanja koji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industrije gvožđa i čelika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02 07*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čvrsti otpadi iz procesa tretmana gasa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termičke metalurgije aluminijuma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04*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šljake iz primarne proizvodnje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08*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slane šljake iz sekundarne proizvodnje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09*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crna zgura iz sekundarne proizvodnje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19*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dimnog gasa koja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21*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ostale čvrste čestice i prašina (uključujući prašinu iz mlina sa kuglama)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03 29*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od tretmana slanih šljaka i crne zgure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termičke metalurgije olova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04 01*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šljake iz primarne i sekundarne proizvodnje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04 02*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zgura i plivajuća pena/šljaka iz primarne i sekundarne proizvodnje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 04 04*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dimnog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10 04 05*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ostale čvrste čestice i prašina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04 06*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čvrsti otpadi iz tretmana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termičke metalurgije cinka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05 03*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dimnog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05 05*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čvrsti otpad iz tretmana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 iz termičke metalurgije bakra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06 03*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dimnog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06 06*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čvrsti otpadi iz tretmana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10 08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termičke metalurgije ostalih obojenih metala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08 08*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slana šljaka iz primarne i sekundarne proizvodnje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08 15*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dimnog gasa koja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od livenja gvozdenih odlivaka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10 09 09*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dimnog gasa koja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16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KOJI NISU DRUGAČIJE SPECIFICIRANI U KATALOGU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16 11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otpadne obloge i vatrostalni materijali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16 11 01*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obloge na bazi ugljenika i vatrostalni materijali iz metalurških procesa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16 11 03*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ostale obloge i vatrostalni materijali iz metalurških procesa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GRAĐEVINSKI OTPAD I OTPAD OD RUŠENJA (UKLJUČUJUĆI I ISKOPANU ZEMLJU SA KONTAMINIRANIH LOKACIJA)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17 01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beton, cigle, crep i keramika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17 01 06*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mešavine ili pojedine frakcije betona, cigle, pločice i keramika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17 05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zemlja (uključujući zemlju iskopanu sa kontaminiranih lokacija), kamen i iskop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17 05 03*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zemlja i kamen koji sadrže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17 09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ostali otpadi od građenja i rušenja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>17 09 02* 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od građenja i rušenja koji sadrže PCB (npr. zaptivači koji sadrže PCB, podovi na bazi smola koji sadrže PCB, glazure koje sadrže PCB i kondenzatori koji sadrže PCB)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Arial" w:eastAsia="Times New Roman" w:hAnsi="Arial" w:cs="Arial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17 09 03*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ostali otpadi od građenja i rušenja (uključujući mešane otpade) koji sadrže opasne supstance 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  <w:r w:rsidRPr="007E37A1"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  <w:t> 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IZ POSTROJENJA ZA OBRADU OTPADA, POGONA ZA TRETMAN OTPADNIH VODA VAN MESTA NASTAJANJA I PRIPREMU VODE ZA LJUDSKU POTROŠNJU I KORIŠĆENJE U INDUSTRIJI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19 01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otpadi od spaljivanja ili pirolize otpada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01 07*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čvrsti otpadi od tretmana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01 11*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šljaka koja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01 13*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leteći pepeo koji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01 15*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prašina iz kotla koja sadrži opasne supstance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ostakljen (vitrifikovan) otpad i otpadi nastali u procesu vitrifikacije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19 04 02*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leteći pepeo i ostali otpadi od tretmana dimnog gasa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lastRenderedPageBreak/>
              <w:t xml:space="preserve">19 04 03*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čvrsta faza koja se nije vitrifikovala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E37A1" w:rsidRPr="007E37A1" w:rsidRDefault="007E37A1" w:rsidP="007E37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r-Latn-RS"/>
              </w:rPr>
            </w:pPr>
          </w:p>
        </w:tc>
      </w:tr>
    </w:tbl>
    <w:p w:rsidR="007E37A1" w:rsidRPr="007E37A1" w:rsidRDefault="007E37A1" w:rsidP="007E37A1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sr-Latn-RS"/>
        </w:rPr>
      </w:pPr>
      <w:r w:rsidRPr="007E37A1">
        <w:rPr>
          <w:rFonts w:ascii="Arial" w:eastAsia="Times New Roman" w:hAnsi="Arial" w:cs="Arial"/>
          <w:lang w:eastAsia="sr-Latn-RS"/>
        </w:rPr>
        <w:t>(1) Ova ograničenja se primenjuju isključivo na deponije za opasni otpad i ne primenjuju se na stalne podzemne objekte za skladištenje opasnih otpada, uključujući i rudnike soli.</w:t>
      </w:r>
      <w:r w:rsidRPr="007E37A1">
        <w:rPr>
          <w:rFonts w:ascii="Arial" w:eastAsia="Times New Roman" w:hAnsi="Arial" w:cs="Arial"/>
          <w:lang w:eastAsia="sr-Latn-RS"/>
        </w:rPr>
        <w:br/>
        <w:t>(2) Svaki otpad označen zvezdicom* smatra se opasnim otpadom.</w:t>
      </w:r>
      <w:r w:rsidRPr="007E37A1">
        <w:rPr>
          <w:rFonts w:ascii="Arial" w:eastAsia="Times New Roman" w:hAnsi="Arial" w:cs="Arial"/>
          <w:lang w:eastAsia="sr-Latn-RS"/>
        </w:rPr>
        <w:br/>
        <w:t>(3) Primenjuje se metod izračunavanja sadržan u SRPS EN 12766-1:2011 i SRPS EN 12766-2:2011.</w:t>
      </w:r>
      <w:r w:rsidRPr="007E37A1">
        <w:rPr>
          <w:rFonts w:ascii="Arial" w:eastAsia="Times New Roman" w:hAnsi="Arial" w:cs="Arial"/>
          <w:lang w:eastAsia="sr-Latn-RS"/>
        </w:rPr>
        <w:br/>
        <w:t xml:space="preserve">(4) Ekvivalentna toksičnost (TE) PCDD i PCDF se izračunava na osnovu sledećih faktora ekvivalentne toksičnosti (TEF). </w:t>
      </w:r>
    </w:p>
    <w:tbl>
      <w:tblPr>
        <w:tblW w:w="5000" w:type="pct"/>
        <w:tblCellSpacing w:w="0" w:type="dxa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239"/>
        <w:gridCol w:w="3953"/>
      </w:tblGrid>
      <w:tr w:rsidR="007E37A1" w:rsidRPr="007E37A1" w:rsidTr="007E37A1">
        <w:trPr>
          <w:tblCellSpacing w:w="0" w:type="dxa"/>
        </w:trPr>
        <w:tc>
          <w:tcPr>
            <w:tcW w:w="2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PCDD </w:t>
            </w:r>
          </w:p>
        </w:tc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TEF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2,3,7,8-TeCDD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1,2,3,7,8-PeCDD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1,2,3,4,7,8-HxCDD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1,2,3,6,7,8-HxCDD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1,2,3,7,8,9-HxCDD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1,2,3,4,6,7,8-HpCDD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0,0003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TEF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2,3,7,8-TeCDF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1,2,3,7,8-PeCDF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0,03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2,3,4,7,8-PeCDF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0,3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1,2,3,4,7,8-HxCDF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1,2,3,6,7,8-HxCDF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1,2,3,7,8,9-HxCDF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PCDD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TEF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2,3,4,6,7,8-HxCDF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1,2,3,4,6,7,8-HpCDF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1,2,3,4,7,8,9-HpCDF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0,01 </w:t>
            </w:r>
          </w:p>
        </w:tc>
      </w:tr>
      <w:tr w:rsidR="007E37A1" w:rsidRPr="007E37A1" w:rsidTr="007E37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OCDF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E37A1" w:rsidRPr="007E37A1" w:rsidRDefault="007E37A1" w:rsidP="007E37A1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lang w:eastAsia="sr-Latn-RS"/>
              </w:rPr>
            </w:pPr>
            <w:r w:rsidRPr="007E37A1">
              <w:rPr>
                <w:rFonts w:ascii="Arial" w:eastAsia="Times New Roman" w:hAnsi="Arial" w:cs="Arial"/>
                <w:lang w:eastAsia="sr-Latn-RS"/>
              </w:rPr>
              <w:t xml:space="preserve">0,0003 </w:t>
            </w:r>
          </w:p>
        </w:tc>
      </w:tr>
    </w:tbl>
    <w:p w:rsidR="00F472A9" w:rsidRDefault="00F472A9">
      <w:bookmarkStart w:id="14" w:name="_GoBack"/>
      <w:bookmarkEnd w:id="14"/>
    </w:p>
    <w:sectPr w:rsidR="00F47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7A1"/>
    <w:rsid w:val="00373405"/>
    <w:rsid w:val="007E37A1"/>
    <w:rsid w:val="00D63236"/>
    <w:rsid w:val="00F4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E37A1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E37A1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7E37A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E37A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E37A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7E37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7E37A1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7E37A1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indeks1">
    <w:name w:val="indeks1"/>
    <w:basedOn w:val="DefaultParagraphFont"/>
    <w:rsid w:val="007E37A1"/>
    <w:rPr>
      <w:sz w:val="15"/>
      <w:szCs w:val="15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7E37A1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"/>
    <w:rsid w:val="007E37A1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7E37A1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0">
    <w:name w:val="normal"/>
    <w:basedOn w:val="Normal"/>
    <w:rsid w:val="007E37A1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7E37A1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centar">
    <w:name w:val="normalcentar"/>
    <w:basedOn w:val="Normal"/>
    <w:rsid w:val="007E37A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lang w:eastAsia="sr-Latn-RS"/>
    </w:rPr>
  </w:style>
  <w:style w:type="paragraph" w:customStyle="1" w:styleId="normalprored">
    <w:name w:val="normalprored"/>
    <w:basedOn w:val="Normal"/>
    <w:rsid w:val="007E37A1"/>
    <w:pPr>
      <w:spacing w:after="0" w:line="240" w:lineRule="auto"/>
    </w:pPr>
    <w:rPr>
      <w:rFonts w:ascii="Arial" w:eastAsia="Times New Roman" w:hAnsi="Arial" w:cs="Arial"/>
      <w:sz w:val="26"/>
      <w:szCs w:val="26"/>
      <w:lang w:eastAsia="sr-Latn-RS"/>
    </w:rPr>
  </w:style>
  <w:style w:type="paragraph" w:customStyle="1" w:styleId="wyq080---odsek">
    <w:name w:val="wyq080---odsek"/>
    <w:basedOn w:val="Normal"/>
    <w:rsid w:val="007E37A1"/>
    <w:pPr>
      <w:spacing w:after="0" w:line="240" w:lineRule="auto"/>
      <w:jc w:val="center"/>
    </w:pPr>
    <w:rPr>
      <w:rFonts w:ascii="Arial" w:eastAsia="Times New Roman" w:hAnsi="Arial" w:cs="Arial"/>
      <w:b/>
      <w:bCs/>
      <w:sz w:val="29"/>
      <w:szCs w:val="29"/>
      <w:lang w:eastAsia="sr-Latn-RS"/>
    </w:rPr>
  </w:style>
  <w:style w:type="character" w:customStyle="1" w:styleId="indeks1">
    <w:name w:val="indeks1"/>
    <w:basedOn w:val="DefaultParagraphFont"/>
    <w:rsid w:val="007E37A1"/>
    <w:rPr>
      <w:sz w:val="15"/>
      <w:szCs w:val="15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6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2592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Škiljević</dc:creator>
  <cp:lastModifiedBy>Sanja Škiljević</cp:lastModifiedBy>
  <cp:revision>1</cp:revision>
  <dcterms:created xsi:type="dcterms:W3CDTF">2017-05-16T06:29:00Z</dcterms:created>
  <dcterms:modified xsi:type="dcterms:W3CDTF">2017-05-16T06:29:00Z</dcterms:modified>
</cp:coreProperties>
</file>