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0"/>
      </w:tblGrid>
      <w:tr w:rsidR="007606E2" w:rsidRPr="007606E2" w:rsidTr="007606E2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7606E2" w:rsidRPr="007606E2" w:rsidRDefault="007606E2" w:rsidP="007606E2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7606E2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UREDBA</w:t>
            </w:r>
          </w:p>
          <w:p w:rsidR="007606E2" w:rsidRPr="007606E2" w:rsidRDefault="007606E2" w:rsidP="007606E2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7606E2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GRANIČNIM VREDNOSTIMA ZAGAĐUJUĆIH, ŠTETNIH I OPASNIH MATERIJA U ZEMLJIŠTU</w:t>
            </w:r>
          </w:p>
          <w:p w:rsidR="007606E2" w:rsidRPr="007606E2" w:rsidRDefault="007606E2" w:rsidP="007606E2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7606E2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("Sl. glasnik RS", br. 30/2018 i 64/2019)</w:t>
            </w:r>
          </w:p>
        </w:tc>
      </w:tr>
    </w:tbl>
    <w:p w:rsidR="007606E2" w:rsidRPr="007606E2" w:rsidRDefault="007606E2" w:rsidP="007606E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clan_1"/>
      <w:bookmarkEnd w:id="0"/>
      <w:r w:rsidRPr="007606E2">
        <w:rPr>
          <w:rFonts w:ascii="Arial" w:eastAsia="Times New Roman" w:hAnsi="Arial" w:cs="Arial"/>
          <w:b/>
          <w:bCs/>
          <w:sz w:val="24"/>
          <w:szCs w:val="24"/>
        </w:rPr>
        <w:t xml:space="preserve">Član 1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Ovom uredbom utvrđuju se granične vrednosti zagađujućih, štetnih i opasnih materija u zemljištu. </w:t>
      </w:r>
    </w:p>
    <w:p w:rsidR="007606E2" w:rsidRPr="007606E2" w:rsidRDefault="007606E2" w:rsidP="007606E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clan_2"/>
      <w:bookmarkEnd w:id="1"/>
      <w:r w:rsidRPr="007606E2">
        <w:rPr>
          <w:rFonts w:ascii="Arial" w:eastAsia="Times New Roman" w:hAnsi="Arial" w:cs="Arial"/>
          <w:b/>
          <w:bCs/>
          <w:sz w:val="24"/>
          <w:szCs w:val="24"/>
        </w:rPr>
        <w:t xml:space="preserve">Član 2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Granične vrednosti zagađujućih, štetnih i opasnih materija u zemljištu utvrđuju se merenjem i/ili izračunavanjem na osnovu rezultata merenja. </w:t>
      </w:r>
    </w:p>
    <w:p w:rsidR="007606E2" w:rsidRPr="007606E2" w:rsidRDefault="007606E2" w:rsidP="007606E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clan_3"/>
      <w:bookmarkEnd w:id="2"/>
      <w:r w:rsidRPr="007606E2">
        <w:rPr>
          <w:rFonts w:ascii="Arial" w:eastAsia="Times New Roman" w:hAnsi="Arial" w:cs="Arial"/>
          <w:b/>
          <w:bCs/>
          <w:sz w:val="24"/>
          <w:szCs w:val="24"/>
        </w:rPr>
        <w:t xml:space="preserve">Član 3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Granične vrednosti zagađujućih, štetnih i opasnih materija u zemljištu čije prekoračenje ukazuje na nivo kontaminacije koji narušava ekološku ravnotežu, nameće dodatna ispitivanja tog zemljišta kao i ograničenja u načinu upravljanja, kao i vrednosti zagađujućih, štetnih i opasnih materija u zemljištu pri čijem prekoračenju dolazi do narušavanja nivoa koji je bezbedan za korišćenje date su u Prilogu 1 - Granične maksimalne i remedijacione vrednosti zagađujućih, štetnih i opasnih materija u zemljištu, koji je odštampan uz ovu uredbu i čini njen sastavni deo (u daljem tekstu: Prilog 1).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Granične vrednosti zagađujućih, štetnih i opasnih materija u vodonosnom sloju koje mogu ukazati na hemijsko zagađenje zemljišta date su u Prilogu 2 - Remedijacione vrednosti zagađujućih, štetnih i opasnih materija u vodonosnom sloju, koji je odštampan uz ovu uredbu i čini njen sastavni deo (u daljem tekstu: Prilog 2). </w:t>
      </w:r>
    </w:p>
    <w:p w:rsidR="007606E2" w:rsidRPr="007606E2" w:rsidRDefault="007606E2" w:rsidP="007606E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clan_4"/>
      <w:bookmarkEnd w:id="3"/>
      <w:r w:rsidRPr="007606E2">
        <w:rPr>
          <w:rFonts w:ascii="Arial" w:eastAsia="Times New Roman" w:hAnsi="Arial" w:cs="Arial"/>
          <w:b/>
          <w:bCs/>
          <w:sz w:val="24"/>
          <w:szCs w:val="24"/>
        </w:rPr>
        <w:t xml:space="preserve">Član 4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U slučaju prekoračenja graničnih vrednosti iz Priloga 1 i graničnih koncentracija zagađujućih materija u podzemnim vodama utvrđenih posebnim propisom, vrše se dodatna istraživanja na kontaminiranim lokacijama radi utvrđivanja stepena zagađenosti zemljišta i izrade projekata remedijacije i rekultivacije. </w:t>
      </w:r>
    </w:p>
    <w:p w:rsidR="007606E2" w:rsidRPr="007606E2" w:rsidRDefault="007606E2" w:rsidP="007606E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clan_5"/>
      <w:bookmarkEnd w:id="4"/>
      <w:r w:rsidRPr="007606E2">
        <w:rPr>
          <w:rFonts w:ascii="Arial" w:eastAsia="Times New Roman" w:hAnsi="Arial" w:cs="Arial"/>
          <w:b/>
          <w:bCs/>
          <w:sz w:val="24"/>
          <w:szCs w:val="24"/>
        </w:rPr>
        <w:t xml:space="preserve">Član 5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>Projekat remedijacije i rekultivacije se uvek realizuje kada prosečna koncentracija bilo koje zagađujuće, opasne i štetne materije u više od 25 m</w:t>
      </w:r>
      <w:r w:rsidRPr="007606E2">
        <w:rPr>
          <w:rFonts w:ascii="Arial" w:eastAsia="Times New Roman" w:hAnsi="Arial" w:cs="Arial"/>
          <w:sz w:val="15"/>
          <w:szCs w:val="15"/>
          <w:vertAlign w:val="superscript"/>
        </w:rPr>
        <w:t>3</w:t>
      </w:r>
      <w:r w:rsidRPr="007606E2">
        <w:rPr>
          <w:rFonts w:ascii="Arial" w:eastAsia="Times New Roman" w:hAnsi="Arial" w:cs="Arial"/>
        </w:rPr>
        <w:t xml:space="preserve"> zapremine zemljišta prelazi remedijacionu vrednost datu u Prilogu 1 ili u više od 100 m</w:t>
      </w:r>
      <w:r w:rsidRPr="007606E2">
        <w:rPr>
          <w:rFonts w:ascii="Arial" w:eastAsia="Times New Roman" w:hAnsi="Arial" w:cs="Arial"/>
          <w:sz w:val="15"/>
          <w:szCs w:val="15"/>
          <w:vertAlign w:val="superscript"/>
        </w:rPr>
        <w:t>3</w:t>
      </w:r>
      <w:r w:rsidRPr="007606E2">
        <w:rPr>
          <w:rFonts w:ascii="Arial" w:eastAsia="Times New Roman" w:hAnsi="Arial" w:cs="Arial"/>
        </w:rPr>
        <w:t xml:space="preserve"> zapremine vodonosnog sloja na kontaminiranim lokacijama prelazi remedijacionu vrednost datu u Prilogu 2.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lastRenderedPageBreak/>
        <w:t>Projekat remedijacije i rekultivacije može se realizovati i u slučaju prekoračenja graničnih vrednosti iz Priloga 1, kao i u slučaju da koncentracije zagađujućih, opasnih i štetnih materija u manje od 25 m</w:t>
      </w:r>
      <w:r w:rsidRPr="007606E2">
        <w:rPr>
          <w:rFonts w:ascii="Arial" w:eastAsia="Times New Roman" w:hAnsi="Arial" w:cs="Arial"/>
          <w:sz w:val="15"/>
          <w:szCs w:val="15"/>
          <w:vertAlign w:val="superscript"/>
        </w:rPr>
        <w:t>3</w:t>
      </w:r>
      <w:r w:rsidRPr="007606E2">
        <w:rPr>
          <w:rFonts w:ascii="Arial" w:eastAsia="Times New Roman" w:hAnsi="Arial" w:cs="Arial"/>
        </w:rPr>
        <w:t xml:space="preserve"> zapremine zemljišta prelaze remedijacione vrednosti date u Prilogu 1 ili u manje od 100 m</w:t>
      </w:r>
      <w:r w:rsidRPr="007606E2">
        <w:rPr>
          <w:rFonts w:ascii="Arial" w:eastAsia="Times New Roman" w:hAnsi="Arial" w:cs="Arial"/>
          <w:sz w:val="15"/>
          <w:szCs w:val="15"/>
          <w:vertAlign w:val="superscript"/>
        </w:rPr>
        <w:t>3</w:t>
      </w:r>
      <w:r w:rsidRPr="007606E2">
        <w:rPr>
          <w:rFonts w:ascii="Arial" w:eastAsia="Times New Roman" w:hAnsi="Arial" w:cs="Arial"/>
        </w:rPr>
        <w:t xml:space="preserve"> zapremine vodonosnog sloja na kontaminiranim lokacijama prelaze remedijacione vrednosti date u Prilogu 2, ako dodatna istraživanja na kontaminiranim lokacijama ukažu na značajne posledice na zdravlje ljudi i životnu sredinu. </w:t>
      </w:r>
    </w:p>
    <w:p w:rsidR="007606E2" w:rsidRPr="007606E2" w:rsidRDefault="007606E2" w:rsidP="007606E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clan_6"/>
      <w:bookmarkEnd w:id="5"/>
      <w:r w:rsidRPr="007606E2">
        <w:rPr>
          <w:rFonts w:ascii="Arial" w:eastAsia="Times New Roman" w:hAnsi="Arial" w:cs="Arial"/>
          <w:b/>
          <w:bCs/>
          <w:sz w:val="24"/>
          <w:szCs w:val="24"/>
        </w:rPr>
        <w:t xml:space="preserve">Član 6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Danom stupanja na snagu ove uredbe prestaju da važe čl. 15. i 16. Uredbe o programu sistematskog praćenja kvaliteta zemljišta, indikatorima za ocenu rizika od degradacije zemljišta i metodologiji za izradu remedijacionih programa ("Službeni glasnik RS", broj 88/10). </w:t>
      </w:r>
    </w:p>
    <w:p w:rsidR="007606E2" w:rsidRPr="007606E2" w:rsidRDefault="007606E2" w:rsidP="007606E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" w:name="clan_7"/>
      <w:bookmarkEnd w:id="6"/>
      <w:r w:rsidRPr="007606E2">
        <w:rPr>
          <w:rFonts w:ascii="Arial" w:eastAsia="Times New Roman" w:hAnsi="Arial" w:cs="Arial"/>
          <w:b/>
          <w:bCs/>
          <w:sz w:val="24"/>
          <w:szCs w:val="24"/>
        </w:rPr>
        <w:t xml:space="preserve">Član 7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Ova uredba stupa na snagu osmog dana od dana objavljivanja "Službenom glasniku Republike Srbije".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> </w:t>
      </w:r>
    </w:p>
    <w:p w:rsidR="007606E2" w:rsidRPr="007606E2" w:rsidRDefault="007606E2" w:rsidP="007606E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7606E2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Samostalni član Uredbe o izmeni </w:t>
      </w:r>
      <w:r w:rsidRPr="007606E2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 xml:space="preserve">Uredbe o graničnim vrednostima zagađujućih, štetnih i opasnih materija u zemljištu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7606E2">
        <w:rPr>
          <w:rFonts w:ascii="Arial" w:eastAsia="Times New Roman" w:hAnsi="Arial" w:cs="Arial"/>
          <w:i/>
          <w:iCs/>
        </w:rPr>
        <w:t xml:space="preserve">("Sl. glasnik RS", br. 64/2019) </w:t>
      </w:r>
    </w:p>
    <w:p w:rsidR="007606E2" w:rsidRPr="007606E2" w:rsidRDefault="007606E2" w:rsidP="007606E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606E2">
        <w:rPr>
          <w:rFonts w:ascii="Arial" w:eastAsia="Times New Roman" w:hAnsi="Arial" w:cs="Arial"/>
          <w:b/>
          <w:bCs/>
          <w:sz w:val="24"/>
          <w:szCs w:val="24"/>
        </w:rPr>
        <w:t xml:space="preserve">Član 2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Ova uredba stupa na snagu osmog dana od dana objavljivanja u "Službenom glasniku Republike Srbije", a primenjuje se od 1. januara 2020. godine.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  </w:t>
      </w:r>
    </w:p>
    <w:p w:rsidR="007606E2" w:rsidRPr="007606E2" w:rsidRDefault="007606E2" w:rsidP="007606E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7606E2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7606E2" w:rsidRPr="007606E2" w:rsidRDefault="007606E2" w:rsidP="007606E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bookmarkStart w:id="7" w:name="str_1"/>
      <w:bookmarkEnd w:id="7"/>
      <w:r w:rsidRPr="007606E2">
        <w:rPr>
          <w:rFonts w:ascii="Arial" w:eastAsia="Times New Roman" w:hAnsi="Arial" w:cs="Arial"/>
          <w:b/>
          <w:bCs/>
          <w:sz w:val="29"/>
          <w:szCs w:val="29"/>
        </w:rPr>
        <w:t xml:space="preserve">Prilog 1 </w:t>
      </w:r>
    </w:p>
    <w:p w:rsidR="007606E2" w:rsidRPr="007606E2" w:rsidRDefault="007606E2" w:rsidP="007606E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r w:rsidRPr="007606E2">
        <w:rPr>
          <w:rFonts w:ascii="Arial" w:eastAsia="Times New Roman" w:hAnsi="Arial" w:cs="Arial"/>
          <w:b/>
          <w:bCs/>
          <w:sz w:val="29"/>
          <w:szCs w:val="29"/>
        </w:rPr>
        <w:t xml:space="preserve">GRANIČNE MAKSIMALNE I REMEDIJACIONE VREDNOSTI ZAGAĐUJUĆIH, ŠTETNIH I OPASNIH MATERIJA U ZEMLJIŠTU </w:t>
      </w:r>
    </w:p>
    <w:p w:rsidR="007606E2" w:rsidRPr="007606E2" w:rsidRDefault="007606E2" w:rsidP="007606E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7606E2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98"/>
        <w:gridCol w:w="1980"/>
        <w:gridCol w:w="2212"/>
      </w:tblGrid>
      <w:tr w:rsidR="007606E2" w:rsidRPr="007606E2" w:rsidTr="007606E2">
        <w:trPr>
          <w:tblCellSpacing w:w="0" w:type="dxa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6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Zemljište (mg/kg apsolutno suve materije)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6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Granična maksimalna vrednost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>Remedijaciona</w:t>
            </w:r>
            <w:r w:rsidRPr="007606E2">
              <w:rPr>
                <w:rFonts w:ascii="Arial" w:eastAsia="Times New Roman" w:hAnsi="Arial" w:cs="Arial"/>
              </w:rPr>
              <w:br/>
              <w:t xml:space="preserve">vrednost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b/>
                <w:bCs/>
              </w:rPr>
              <w:t>Metali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Kadmijum (Cd)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12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Hrom (Cr)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380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lastRenderedPageBreak/>
              <w:t xml:space="preserve">Bakar (Cu)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190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Nikl (Ni)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210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Olovo (Pb)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530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Cink (Zn)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720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Živa (Hg)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Arsen (As)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Barijum (Ba)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625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Kobalt (Co)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240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Molibden (Mo)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Antimon (Sb)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Berilijum (Be)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Selen (Se)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Telur (Te)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600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Talijum (Th)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Kalaj (Sn)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900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Vanadijum (V)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250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Srebro (Ag)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b/>
                <w:bCs/>
              </w:rPr>
              <w:t>Neorganska jedinjenja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Cijanidi - slobodni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>Cijanidi - kompleks (pH &lt; 5)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1*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650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Cijanidi - kompleks (pH ≥ 5)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Tiocijanati (ukupni)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Bromidi (mgBr/l)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Fluoridi (mgF/l)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500*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b/>
                <w:bCs/>
              </w:rPr>
              <w:t>Aromatična organska jedinjenja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Benzen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Etilbenzen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Toluen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130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Ksileni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Stiren (vinilbenzen)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Fenol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40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Krezoli (ukupni)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Katehol (o-dihidroksibenzen)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Rezorcinol (m-dihidroksibenzen)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lastRenderedPageBreak/>
              <w:t xml:space="preserve">Hidrohinon (p-dihidroksibenzen)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Dodecilbenzen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Aromatični rastvarači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b/>
                <w:bCs/>
              </w:rPr>
              <w:t xml:space="preserve">Policiklični aromatični ugljovodonici (PAH)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>PAH (ukupni)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2*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40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b/>
                <w:bCs/>
              </w:rPr>
              <w:t>Hlorovani ugljovodonici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Vinilhlorid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0,1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Dihlormetan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1,1-dihloretan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1,2-dihloretan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4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1,1-dihloreten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0,3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1,2-dihloreten (cis, trans)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Dihlorpropan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Trihlormetan (Hloroform)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1,1,1- trihloretan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1,1,2-trihloretan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Trihloreten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60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Tetrahlormetan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Tetrahloreten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4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>Hlorbenzeni (ukupni)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3*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>Hlorfenoli (ukupni)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4*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Hloronaftalen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Monohloranilin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>Polihlorovani bifenili (ukupni)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5*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Ekstraktabilna halogenizovana organska jedinjenja (EOX)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Dihloranilin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Trihloranilin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Tetrahloranilin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Pentahloranilin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4-hlormetilfenol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Dioksin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0,001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b/>
                <w:bCs/>
              </w:rPr>
              <w:t>Pesticidi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DDT/ DDD/ DDE (ukupni)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4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>Drini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6*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4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lastRenderedPageBreak/>
              <w:t xml:space="preserve">Aldrin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Dieldrin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Endrin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>HCH-jedinjenja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7*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α-HCH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β-HCH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γ-HCH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Atrazin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6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Karbaril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0,00003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Karbofuran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Hlordan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0,00003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4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Endosulfan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4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Heptahlor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4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Heptahlorepoksid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0,0000002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4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Maneb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>MCPA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8*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4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Organo kalajna jedinjenja (ukupni)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2,5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Azinfosmetil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0,000005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b/>
                <w:bCs/>
              </w:rPr>
              <w:t>Ostale zagađujuće materije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Cikloheksanon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45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>Ftalati (ukupni)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9*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60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>Ukupni naftni ugljovodonici (frakcije C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bscript"/>
              </w:rPr>
              <w:t>6</w:t>
            </w:r>
            <w:r w:rsidRPr="007606E2">
              <w:rPr>
                <w:rFonts w:ascii="Arial" w:eastAsia="Times New Roman" w:hAnsi="Arial" w:cs="Arial"/>
              </w:rPr>
              <w:t>-C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bscript"/>
              </w:rPr>
              <w:t>40</w:t>
            </w:r>
            <w:r w:rsidRPr="007606E2">
              <w:rPr>
                <w:rFonts w:ascii="Arial" w:eastAsia="Times New Roman" w:hAnsi="Arial" w:cs="Arial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5000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Piridini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Tetrahidrofuran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Tetrahidrotiofen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90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Tribromometan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75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Akrilonitril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0,000007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0,1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Butanol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1,2 butilacetat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Etilacetat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75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Dietilenglikol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270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Etilenglikol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Formaldehid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0,1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Izopropanol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220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lastRenderedPageBreak/>
              <w:t xml:space="preserve">Metanol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Metil-tercijarni-butil-etar (MTBE)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Metiletilketon (MEK)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35 </w:t>
            </w:r>
          </w:p>
        </w:tc>
      </w:tr>
    </w:tbl>
    <w:p w:rsidR="007606E2" w:rsidRPr="007606E2" w:rsidRDefault="007606E2" w:rsidP="007606E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7606E2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0"/>
        <w:gridCol w:w="164"/>
        <w:gridCol w:w="9046"/>
      </w:tblGrid>
      <w:tr w:rsidR="007606E2" w:rsidRPr="007606E2" w:rsidTr="007606E2">
        <w:trPr>
          <w:tblCellSpacing w:w="0" w:type="dxa"/>
        </w:trPr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1*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>Vrednost pH se određuje u 0.01 M CaCl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bscript"/>
              </w:rPr>
              <w:t>2</w:t>
            </w:r>
            <w:r w:rsidRPr="007606E2">
              <w:rPr>
                <w:rFonts w:ascii="Arial" w:eastAsia="Times New Roman" w:hAnsi="Arial" w:cs="Arial"/>
              </w:rPr>
              <w:t xml:space="preserve">.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 xml:space="preserve">2*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Suma deset policikličnih aromatičnih ugljovodonika (antracen, benzo(a)antracen, benzo(k)fluoranten, benzo(a)piren, krizen, fenantren, fluoranten, indeno(1,2,3-cd)piren, naftalen i benzo(ghi)perilen).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 xml:space="preserve">3*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Zbir svih hlorbenzena (mono-,di-, tri-, tetra-,penta- i heksahlorbenzena).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 xml:space="preserve">4*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Zbir svih hlorfenola (mono-, di-, tri-, tetra- i pentahlorfenola).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 xml:space="preserve">5*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U slučaju remedijacionih vrednosti u obzir se uzima suma kongenera polihlorovani bifenili: PCB 28, 52, 101, 118, 138, 153 i 180; a u slučaju graničnih maksimalnih vrednosti uzima se u obzir suma istih kongenera osim PCB 118.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 xml:space="preserve">6*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Pod "drinima" podrazumeva se suma aldrina, dieldrina i endrina.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 xml:space="preserve">7*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Pod HCH (heksahlorcikloheksan) podrazumeva se suma α-HCH, β-HCH, γ-HCH i δ-HCH.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 xml:space="preserve">8*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>MCPA - 4-hloro-o-toluoksiacetilna kiselina (C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bscript"/>
              </w:rPr>
              <w:t>9</w:t>
            </w:r>
            <w:r w:rsidRPr="007606E2">
              <w:rPr>
                <w:rFonts w:ascii="Arial" w:eastAsia="Times New Roman" w:hAnsi="Arial" w:cs="Arial"/>
              </w:rPr>
              <w:t>H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bscript"/>
              </w:rPr>
              <w:t>9</w:t>
            </w:r>
            <w:r w:rsidRPr="007606E2">
              <w:rPr>
                <w:rFonts w:ascii="Arial" w:eastAsia="Times New Roman" w:hAnsi="Arial" w:cs="Arial"/>
              </w:rPr>
              <w:t>ClO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bscript"/>
              </w:rPr>
              <w:t>3</w:t>
            </w:r>
            <w:r w:rsidRPr="007606E2">
              <w:rPr>
                <w:rFonts w:ascii="Arial" w:eastAsia="Times New Roman" w:hAnsi="Arial" w:cs="Arial"/>
              </w:rPr>
              <w:t xml:space="preserve">).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 xml:space="preserve">9*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Zbir svih ftalata.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 xml:space="preserve">*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diferencijacija po sadržaju gline: (F) = 175 = 13·L (L = % gline). </w:t>
            </w:r>
          </w:p>
        </w:tc>
      </w:tr>
    </w:tbl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Dodatne napomene: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  <w:b/>
          <w:bCs/>
        </w:rPr>
        <w:t>Korekcija graničnih maksimalnih vrednosti i remedijacionih vrednosti za metale i arsen u zemljištu</w:t>
      </w:r>
      <w:r w:rsidRPr="007606E2">
        <w:rPr>
          <w:rFonts w:ascii="Arial" w:eastAsia="Times New Roman" w:hAnsi="Arial" w:cs="Arial"/>
        </w:rPr>
        <w:t xml:space="preserve">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Granične maksimalne vrednosti i remedijacione vrednosti za metale i arsen, sa izuzetkom antimona, molibdena, selena, telura, talijuma i srebra, zavise od sadržaja gline i organske materije u zemljištu.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Prilikom utvrđivanja tipa i svojstava zemljišta, vrednosti iz tabele se koriguju u vrednosti primenjive na aktuelno zemljište, a na osnovu izmerenog sadržaja organske materije i sadržaja gline.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Za metale se koristi sledeća korekciona formula, u zavisnosti od tipa zemljišta, na osnovu koje se vrši konverzija.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23"/>
        <w:gridCol w:w="3825"/>
        <w:gridCol w:w="2952"/>
      </w:tblGrid>
      <w:tr w:rsidR="007606E2" w:rsidRPr="007606E2" w:rsidTr="007606E2">
        <w:trPr>
          <w:tblCellSpacing w:w="0" w:type="dxa"/>
        </w:trPr>
        <w:tc>
          <w:tcPr>
            <w:tcW w:w="500" w:type="pct"/>
            <w:vMerge w:val="restart"/>
            <w:noWrap/>
            <w:vAlign w:val="center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(SW, IW)b = (SW, IW)sb • </w:t>
            </w:r>
          </w:p>
        </w:tc>
        <w:tc>
          <w:tcPr>
            <w:tcW w:w="4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noWrap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A + (B • %gline) + (C • %org. materije) </w:t>
            </w:r>
          </w:p>
        </w:tc>
        <w:tc>
          <w:tcPr>
            <w:tcW w:w="4050" w:type="pct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606E2" w:rsidRPr="007606E2" w:rsidRDefault="007606E2" w:rsidP="007606E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A + B 10 </w:t>
            </w:r>
            <w:r w:rsidRPr="007606E2">
              <w:rPr>
                <w:rFonts w:ascii="Arial" w:eastAsia="Times New Roman" w:hAnsi="Arial" w:cs="Arial"/>
                <w:sz w:val="20"/>
                <w:szCs w:val="20"/>
              </w:rPr>
              <w:t>•</w:t>
            </w:r>
            <w:r w:rsidRPr="007606E2">
              <w:rPr>
                <w:rFonts w:ascii="Arial" w:eastAsia="Times New Roman" w:hAnsi="Arial" w:cs="Arial"/>
              </w:rPr>
              <w:t xml:space="preserve"> 25 + C </w:t>
            </w:r>
            <w:r w:rsidRPr="007606E2">
              <w:rPr>
                <w:rFonts w:ascii="Arial" w:eastAsia="Times New Roman" w:hAnsi="Arial" w:cs="Arial"/>
                <w:sz w:val="20"/>
                <w:szCs w:val="20"/>
              </w:rPr>
              <w:t>•</w:t>
            </w:r>
            <w:r w:rsidRPr="007606E2">
              <w:rPr>
                <w:rFonts w:ascii="Arial" w:eastAsia="Times New Roman" w:hAnsi="Arial" w:cs="Arial"/>
              </w:rPr>
              <w:t xml:space="preserve"> 10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Gde su: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(SW, IW)b - korigovana maksimalna granična ili remedijaciona vrednost za određeno zemljište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(SW, IW)sb - maksimalna granična ili remedijaciona vrednost iz tabele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lastRenderedPageBreak/>
        <w:t xml:space="preserve">% gline - izmeren procenat gline u određenom zemljištu (veličine čestica&lt; 2 μm)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% organske materije - izmeren procenat organske materije u određenom zemljištu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A, B, C - konstante zavisne od vrste metala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Konstante u zavisnosti od vrste metala: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74"/>
        <w:gridCol w:w="2160"/>
        <w:gridCol w:w="2066"/>
        <w:gridCol w:w="1690"/>
      </w:tblGrid>
      <w:tr w:rsidR="007606E2" w:rsidRPr="007606E2" w:rsidTr="007606E2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Metal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A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B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C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Arsen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0,4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Barijum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Berilijum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Kadmijum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0,021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Hrom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Kobalt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Bakar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0,6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Živa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0,0017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Olovo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Nikl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Kalaj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Vanadijum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Cink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1,5 </w:t>
            </w:r>
          </w:p>
        </w:tc>
      </w:tr>
    </w:tbl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  <w:b/>
          <w:bCs/>
        </w:rPr>
        <w:t>Korekcija graničnih maksimalnih vrednosti i remedijacionih vrednosti za organska jedinjenja u zemljištu</w:t>
      </w:r>
      <w:r w:rsidRPr="007606E2">
        <w:rPr>
          <w:rFonts w:ascii="Arial" w:eastAsia="Times New Roman" w:hAnsi="Arial" w:cs="Arial"/>
        </w:rPr>
        <w:t xml:space="preserve">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Maksimalne granične vrednosti i remedijacione vrednosti za organska jedinjenja zavise od sadržaja organske materije u zemljištu.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Za organska jedinjenja, izuzev za policiklične aromatične ugljovodonike, koristi se sledeća korekciona formula: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23"/>
        <w:gridCol w:w="2106"/>
        <w:gridCol w:w="4671"/>
      </w:tblGrid>
      <w:tr w:rsidR="007606E2" w:rsidRPr="007606E2" w:rsidTr="007606E2">
        <w:trPr>
          <w:tblCellSpacing w:w="0" w:type="dxa"/>
        </w:trPr>
        <w:tc>
          <w:tcPr>
            <w:tcW w:w="500" w:type="pct"/>
            <w:vMerge w:val="restart"/>
            <w:noWrap/>
            <w:vAlign w:val="center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(SW, IW)b = (SW, IW)sb • </w:t>
            </w:r>
          </w:p>
        </w:tc>
        <w:tc>
          <w:tcPr>
            <w:tcW w:w="4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noWrap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% organske materije </w:t>
            </w:r>
          </w:p>
        </w:tc>
        <w:tc>
          <w:tcPr>
            <w:tcW w:w="4050" w:type="pct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606E2" w:rsidRPr="007606E2" w:rsidRDefault="007606E2" w:rsidP="007606E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Gde su: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(SW, IW)b - korigovana maksimalna granična ili remedijaciona vrednost za određeno zemljište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(SW, IW)sb - maksimalna granična ili remedijaciona vrednost za standardno zemljište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% organske materije - izmereni procenat organske materije u određenom zemljištu.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lastRenderedPageBreak/>
        <w:t xml:space="preserve">Za zemljišta sa sadržajem organske materije iznad 30%, kao i za zemljišta sa sadržajem organske materije ispod 2% vrši se korekcija maksimalnih graničnih i remedijacionih vrednosti tako što se, pri proračunu uzimaju ove dve vrednosti za % organske materije.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  <w:b/>
          <w:bCs/>
        </w:rPr>
        <w:t>Korekcija graničnih maksimalnih vrednosti i remedijacionih vrednosti za policiklične aromatične ugljovodonike (PAH) u zemljištu</w:t>
      </w:r>
      <w:r w:rsidRPr="007606E2">
        <w:rPr>
          <w:rFonts w:ascii="Arial" w:eastAsia="Times New Roman" w:hAnsi="Arial" w:cs="Arial"/>
        </w:rPr>
        <w:t xml:space="preserve">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Maksimalne granične vrednosti i remedijacione vrednosti za policiklične aromatične ugljovodonike (PAH) zavise od sadržaja organske materije u zemljištu.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Za zemljišta sa sadržajem organske materije do 10% ne vrši se korekcija maksimalnih graničnih i remedijacionih vrednosti policikličnih aromatičnih ugljovodonika (PAH).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Za zemljišta sa sadržajem organske materije od 10-30% koristi se sledeća korekciona formula: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23"/>
        <w:gridCol w:w="2106"/>
        <w:gridCol w:w="4671"/>
      </w:tblGrid>
      <w:tr w:rsidR="007606E2" w:rsidRPr="007606E2" w:rsidTr="007606E2">
        <w:trPr>
          <w:tblCellSpacing w:w="0" w:type="dxa"/>
        </w:trPr>
        <w:tc>
          <w:tcPr>
            <w:tcW w:w="500" w:type="pct"/>
            <w:vMerge w:val="restart"/>
            <w:noWrap/>
            <w:vAlign w:val="center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(SW, IW)b = (SW, IW)sb • </w:t>
            </w:r>
          </w:p>
        </w:tc>
        <w:tc>
          <w:tcPr>
            <w:tcW w:w="4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noWrap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% organske materije </w:t>
            </w:r>
          </w:p>
        </w:tc>
        <w:tc>
          <w:tcPr>
            <w:tcW w:w="4050" w:type="pct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606E2" w:rsidRPr="007606E2" w:rsidRDefault="007606E2" w:rsidP="007606E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Gde su: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(SW, IW)b - korigovana maksimalna granična ili remedijaciona vrednost za određeno zemljište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(SW, IW)sb - maksimalna granična ili remedijaciona vrednost za standardno zemljište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% organske materije - izmereni procenat organske materije u određenom zemljištu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Za zemljišta sa sadržajem organske materije preko 30% koristi se sledeća korekciona formula: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(SW, IW)b = (SW, IW)sb • 3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Gde su: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(SW, IW)b - korigovana maksimalna granična ili remedijaciona vrednost za određeno zemljište </w:t>
      </w:r>
    </w:p>
    <w:p w:rsidR="007606E2" w:rsidRPr="007606E2" w:rsidRDefault="007606E2" w:rsidP="007606E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6E2">
        <w:rPr>
          <w:rFonts w:ascii="Arial" w:eastAsia="Times New Roman" w:hAnsi="Arial" w:cs="Arial"/>
        </w:rPr>
        <w:t xml:space="preserve">(SW, IW)sb - maksimalna granična ili remedijaciona vrednost za standardno zemljište </w:t>
      </w:r>
    </w:p>
    <w:p w:rsidR="007606E2" w:rsidRPr="007606E2" w:rsidRDefault="007606E2" w:rsidP="007606E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bookmarkStart w:id="8" w:name="str_2"/>
      <w:bookmarkEnd w:id="8"/>
      <w:r w:rsidRPr="007606E2">
        <w:rPr>
          <w:rFonts w:ascii="Arial" w:eastAsia="Times New Roman" w:hAnsi="Arial" w:cs="Arial"/>
          <w:b/>
          <w:bCs/>
          <w:sz w:val="29"/>
          <w:szCs w:val="29"/>
        </w:rPr>
        <w:t>Prilog 2</w:t>
      </w:r>
    </w:p>
    <w:p w:rsidR="007606E2" w:rsidRPr="007606E2" w:rsidRDefault="007606E2" w:rsidP="007606E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r w:rsidRPr="007606E2">
        <w:rPr>
          <w:rFonts w:ascii="Arial" w:eastAsia="Times New Roman" w:hAnsi="Arial" w:cs="Arial"/>
          <w:b/>
          <w:bCs/>
          <w:sz w:val="29"/>
          <w:szCs w:val="29"/>
        </w:rPr>
        <w:t xml:space="preserve">REMEDIJACIONE VREDNOSTI ZAGAĐUJUĆIH, ŠTETNIH I OPASNIH MATERIJA U VODONOSNOM SLOJU </w:t>
      </w:r>
    </w:p>
    <w:p w:rsidR="007606E2" w:rsidRPr="007606E2" w:rsidRDefault="007606E2" w:rsidP="007606E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7606E2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32"/>
        <w:gridCol w:w="3158"/>
      </w:tblGrid>
      <w:tr w:rsidR="007606E2" w:rsidRPr="007606E2" w:rsidTr="007606E2">
        <w:trPr>
          <w:tblCellSpacing w:w="0" w:type="dxa"/>
        </w:trPr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6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Vodonosni sloj (μg/l u rastvoru)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6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Remedijaciona vrednost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b/>
                <w:bCs/>
              </w:rPr>
              <w:t>Metali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Kadmijum (Cd)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6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Hrom (Cr)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lastRenderedPageBreak/>
              <w:t xml:space="preserve">Bakar (Cu)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75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Nikl (Ni)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75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Olovo (Pb)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75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Cink (Zn)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800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Živa (Hg)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0,3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Arsen (As)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60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Barijum (Ba)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625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Kobalt (Co)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Molibden (Mo)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Antimon (Sb)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Berilijum (Be)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Selen (Se)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160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Telur (Te)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70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Talijum (Th)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7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Kalaj (Sn)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Vanadijum (V)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70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Srebro (Ag)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40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b/>
                <w:bCs/>
              </w:rPr>
              <w:t>Neorganska jedinjenja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Cijanidi - slobodni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1500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>Cijanidi - kompleks (pH &lt; 5)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1*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1500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Cijanidi - kompleks (pH ≥ 5)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1500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Tiocijanati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1500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b/>
                <w:bCs/>
              </w:rPr>
              <w:t>Aromatična organska jedinjenja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Benzen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Etilbenzen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150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Toluen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Ksileni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70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Stiren (vinilbenzen)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Fenol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2000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Krezoli (ukupni)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Katehol (o-dihidroksibenzen)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1250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Rezorcinol (m-dihidroksibenzen)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600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Hidrohinon (p-dihidroksibenzen)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800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Dodecilbenzen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0,02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lastRenderedPageBreak/>
              <w:t xml:space="preserve">Aromatični rastvarači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150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b/>
                <w:bCs/>
              </w:rPr>
              <w:t>Policiklični aromatični ugljovodonici (PAH)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Naftalen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70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Antracen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Fenantren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Fluoranten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Benzo(a)antracen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Krizen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0,2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Benzo(a)piren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Benzo(ghi)perilen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Benzo(k)fluoranten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Indeno(1,2,3-cd)piren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b/>
                <w:bCs/>
              </w:rPr>
              <w:t>Hlorovani ugljovodonici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Vinilhlorid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Dihlormetan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1,1-dihloretan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900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1,2-dihloretan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400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1,1-dihloreten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1,2-dihloreten (cis, trans)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Dihlorpropan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80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Trihlormetan (Hloroform)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400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1,1,1-trihloretan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1,1,2-trihloretan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130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Trihloreten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Tetrahlormetan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Tetrahloreten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40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Monohlorbenzen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180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Dihlorbenzen (ukupni)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Trihlorbenzen (ukupni)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Tetrahlorbenzen (ukupni)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2.5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Pentahlorbenzen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Heksahlorbenzen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Monohlorfenol (ukupni)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Dihlorfenol (ukupni)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lastRenderedPageBreak/>
              <w:t xml:space="preserve">Trihlorfenol (ukupni)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Tetrahlorfenol (ukupni)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Pentahlorfenol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Hloronaftalen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6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Monohloranilin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>Polihlorovani bifenili (ukupni)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2*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0,01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Dihloranilin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Trihloranilin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Tetrahloranilin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Pentahloranilin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4-hlormetilfenol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350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Dioksin (mg/l)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0,001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b/>
                <w:bCs/>
              </w:rPr>
              <w:t>Pesticidi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DDT/DDD/DDE (ukupni)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0,01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>Drini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3*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0,1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>HCH-jedinjenja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4*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Atrazin </w:t>
            </w:r>
            <w:bookmarkStart w:id="9" w:name="_GoBack"/>
            <w:bookmarkEnd w:id="9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150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Karbaril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Karbofuran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Hlordan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0,2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Endosulfan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Heptahlor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0,3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Heptahlorepoksid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Maneb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0,1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>MCPA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5*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Organo kalajna jedinjenja (ukupni)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0,7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Azinfosmetil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b/>
                <w:bCs/>
              </w:rPr>
              <w:t>Ostale zagađujuće materije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Cikloheksanon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15000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>Ftalati (ukupni)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6*</w:t>
            </w:r>
            <w:r w:rsidRPr="007606E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>Ukupni naftni ugljovodonici (frakcije C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bscript"/>
              </w:rPr>
              <w:t>6</w:t>
            </w:r>
            <w:r w:rsidRPr="007606E2">
              <w:rPr>
                <w:rFonts w:ascii="Arial" w:eastAsia="Times New Roman" w:hAnsi="Arial" w:cs="Arial"/>
              </w:rPr>
              <w:t>-C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bscript"/>
              </w:rPr>
              <w:t>40</w:t>
            </w:r>
            <w:r w:rsidRPr="007606E2">
              <w:rPr>
                <w:rFonts w:ascii="Arial" w:eastAsia="Times New Roman" w:hAnsi="Arial" w:cs="Arial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600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Piridini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Tetrahidrofuran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Tetrahidrotiofen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5000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lastRenderedPageBreak/>
              <w:t xml:space="preserve">Tribromometan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630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Akrilonitril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Butanol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5600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1,2 butilacetat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6300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Etilacetat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15000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Dietilenglikol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13000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Etilenglikol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5500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Formaldehid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50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Izopropanol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31000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Metanol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24000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Metil-tercijarni-butil-etar (MTBE)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9200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Metiletilketon (MEK)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6000 </w:t>
            </w:r>
          </w:p>
        </w:tc>
      </w:tr>
    </w:tbl>
    <w:p w:rsidR="007606E2" w:rsidRPr="007606E2" w:rsidRDefault="007606E2" w:rsidP="007606E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7606E2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7"/>
        <w:gridCol w:w="164"/>
        <w:gridCol w:w="8989"/>
      </w:tblGrid>
      <w:tr w:rsidR="007606E2" w:rsidRPr="007606E2" w:rsidTr="007606E2">
        <w:trPr>
          <w:tblCellSpacing w:w="0" w:type="dxa"/>
        </w:trPr>
        <w:tc>
          <w:tcPr>
            <w:tcW w:w="150" w:type="pct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 xml:space="preserve">1* </w:t>
            </w:r>
          </w:p>
        </w:tc>
        <w:tc>
          <w:tcPr>
            <w:tcW w:w="50" w:type="pct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4800" w:type="pct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>Vrednost pH se određuje u 0.01 M CaCl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bscript"/>
              </w:rPr>
              <w:t>2</w:t>
            </w:r>
            <w:r w:rsidRPr="007606E2">
              <w:rPr>
                <w:rFonts w:ascii="Arial" w:eastAsia="Times New Roman" w:hAnsi="Arial" w:cs="Arial"/>
              </w:rPr>
              <w:t xml:space="preserve">.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 xml:space="preserve">2*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U slučaju remedijacionih vrednosti u obzir se uzima suma kongenera polihlorovani bifenili: PCB 28, 52, 101, 118, 138, 153 i 180; a u slučaju graničnih maksimalnih vrednosti uzima se u obzir suma istih kongenera osim PCB 118.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 xml:space="preserve">3*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Pod "drinima" podrazumeva se suma aldrina, dieldrina i endrina.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 xml:space="preserve">4*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Pod HCH (heksahlorcikloheksan) podrazumeva se suma α-HCH, β-HCH, γ-HCH i δ-HCH.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 xml:space="preserve">5*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>MCPA - 4-hloro-o-toluoksiacetilna kiselina (C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bscript"/>
              </w:rPr>
              <w:t>9</w:t>
            </w:r>
            <w:r w:rsidRPr="007606E2">
              <w:rPr>
                <w:rFonts w:ascii="Arial" w:eastAsia="Times New Roman" w:hAnsi="Arial" w:cs="Arial"/>
              </w:rPr>
              <w:t>H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bscript"/>
              </w:rPr>
              <w:t>9</w:t>
            </w:r>
            <w:r w:rsidRPr="007606E2">
              <w:rPr>
                <w:rFonts w:ascii="Arial" w:eastAsia="Times New Roman" w:hAnsi="Arial" w:cs="Arial"/>
              </w:rPr>
              <w:t>ClO</w:t>
            </w:r>
            <w:r w:rsidRPr="007606E2">
              <w:rPr>
                <w:rFonts w:ascii="Arial" w:eastAsia="Times New Roman" w:hAnsi="Arial" w:cs="Arial"/>
                <w:sz w:val="15"/>
                <w:szCs w:val="15"/>
                <w:vertAlign w:val="subscript"/>
              </w:rPr>
              <w:t>3</w:t>
            </w:r>
            <w:r w:rsidRPr="007606E2">
              <w:rPr>
                <w:rFonts w:ascii="Arial" w:eastAsia="Times New Roman" w:hAnsi="Arial" w:cs="Arial"/>
              </w:rPr>
              <w:t xml:space="preserve">). </w:t>
            </w:r>
          </w:p>
        </w:tc>
      </w:tr>
      <w:tr w:rsidR="007606E2" w:rsidRPr="007606E2" w:rsidTr="007606E2">
        <w:trPr>
          <w:tblCellSpacing w:w="0" w:type="dxa"/>
        </w:trPr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 xml:space="preserve">6*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0" w:type="auto"/>
            <w:hideMark/>
          </w:tcPr>
          <w:p w:rsidR="007606E2" w:rsidRPr="007606E2" w:rsidRDefault="007606E2" w:rsidP="0076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7606E2">
              <w:rPr>
                <w:rFonts w:ascii="Arial" w:eastAsia="Times New Roman" w:hAnsi="Arial" w:cs="Arial"/>
              </w:rPr>
              <w:t xml:space="preserve">Zbir svih ftalata. </w:t>
            </w:r>
          </w:p>
        </w:tc>
      </w:tr>
    </w:tbl>
    <w:p w:rsidR="0059524B" w:rsidRDefault="0059524B"/>
    <w:sectPr w:rsidR="005952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E2"/>
    <w:rsid w:val="0059524B"/>
    <w:rsid w:val="0076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53146-8432-4002-9FCD-28F4658F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06E2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606E2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606E2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606E2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606E2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7606E2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6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606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606E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606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606E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606E2"/>
    <w:rPr>
      <w:rFonts w:ascii="Times New Roman" w:eastAsia="Times New Roman" w:hAnsi="Times New Roman" w:cs="Times New Roman"/>
      <w:b/>
      <w:bCs/>
      <w:sz w:val="15"/>
      <w:szCs w:val="15"/>
    </w:rPr>
  </w:style>
  <w:style w:type="numbering" w:customStyle="1" w:styleId="NoList1">
    <w:name w:val="No List1"/>
    <w:next w:val="NoList"/>
    <w:uiPriority w:val="99"/>
    <w:semiHidden/>
    <w:unhideWhenUsed/>
    <w:rsid w:val="007606E2"/>
  </w:style>
  <w:style w:type="character" w:styleId="Hyperlink">
    <w:name w:val="Hyperlink"/>
    <w:basedOn w:val="DefaultParagraphFont"/>
    <w:uiPriority w:val="99"/>
    <w:semiHidden/>
    <w:unhideWhenUsed/>
    <w:rsid w:val="007606E2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606E2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msonormal0">
    <w:name w:val="msonormal"/>
    <w:basedOn w:val="Normal"/>
    <w:rsid w:val="0076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ngl">
    <w:name w:val="singl"/>
    <w:basedOn w:val="Normal"/>
    <w:rsid w:val="007606E2"/>
    <w:pPr>
      <w:spacing w:after="24" w:line="240" w:lineRule="auto"/>
    </w:pPr>
    <w:rPr>
      <w:rFonts w:ascii="Arial" w:eastAsia="Times New Roman" w:hAnsi="Arial" w:cs="Arial"/>
    </w:rPr>
  </w:style>
  <w:style w:type="paragraph" w:customStyle="1" w:styleId="tabelamolovani">
    <w:name w:val="tabelamolovani"/>
    <w:basedOn w:val="Normal"/>
    <w:rsid w:val="007606E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alred">
    <w:name w:val="normal_red"/>
    <w:basedOn w:val="Normal"/>
    <w:rsid w:val="007606E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normalgreenback">
    <w:name w:val="normal_greenback"/>
    <w:basedOn w:val="Normal"/>
    <w:rsid w:val="007606E2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7606E2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imboli">
    <w:name w:val="simboli"/>
    <w:basedOn w:val="Normal"/>
    <w:rsid w:val="007606E2"/>
    <w:pPr>
      <w:spacing w:before="100" w:beforeAutospacing="1" w:after="100" w:afterAutospacing="1" w:line="240" w:lineRule="auto"/>
    </w:pPr>
    <w:rPr>
      <w:rFonts w:ascii="Symbol" w:eastAsia="Times New Roman" w:hAnsi="Symbol" w:cs="Times New Roman"/>
    </w:rPr>
  </w:style>
  <w:style w:type="paragraph" w:customStyle="1" w:styleId="simboliindeks">
    <w:name w:val="simboliindeks"/>
    <w:basedOn w:val="Normal"/>
    <w:rsid w:val="007606E2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</w:rPr>
  </w:style>
  <w:style w:type="paragraph" w:customStyle="1" w:styleId="normal0">
    <w:name w:val="normal"/>
    <w:basedOn w:val="Normal"/>
    <w:rsid w:val="007606E2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ormaltd">
    <w:name w:val="normaltd"/>
    <w:basedOn w:val="Normal"/>
    <w:rsid w:val="007606E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normaltdb">
    <w:name w:val="normaltdb"/>
    <w:basedOn w:val="Normal"/>
    <w:rsid w:val="007606E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</w:rPr>
  </w:style>
  <w:style w:type="paragraph" w:customStyle="1" w:styleId="samostalni">
    <w:name w:val="samostalni"/>
    <w:basedOn w:val="Normal"/>
    <w:rsid w:val="007606E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samostalni1">
    <w:name w:val="samostalni1"/>
    <w:basedOn w:val="Normal"/>
    <w:rsid w:val="007606E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tabelaobrazac">
    <w:name w:val="tabelaobrazac"/>
    <w:basedOn w:val="Normal"/>
    <w:rsid w:val="007606E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tabelanaslov">
    <w:name w:val="tabelanaslov"/>
    <w:basedOn w:val="Normal"/>
    <w:rsid w:val="007606E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tabelasm">
    <w:name w:val="tabela_sm"/>
    <w:basedOn w:val="Normal"/>
    <w:rsid w:val="007606E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tabelasp">
    <w:name w:val="tabela_sp"/>
    <w:basedOn w:val="Normal"/>
    <w:rsid w:val="007606E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tabelact">
    <w:name w:val="tabela_ct"/>
    <w:basedOn w:val="Normal"/>
    <w:rsid w:val="007606E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naslov1">
    <w:name w:val="naslov1"/>
    <w:basedOn w:val="Normal"/>
    <w:rsid w:val="007606E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aslov2">
    <w:name w:val="naslov2"/>
    <w:basedOn w:val="Normal"/>
    <w:rsid w:val="007606E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7606E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7606E2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</w:rPr>
  </w:style>
  <w:style w:type="paragraph" w:customStyle="1" w:styleId="normaluvuceni2">
    <w:name w:val="normal_uvuceni2"/>
    <w:basedOn w:val="Normal"/>
    <w:rsid w:val="007606E2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</w:rPr>
  </w:style>
  <w:style w:type="paragraph" w:customStyle="1" w:styleId="normaluvuceni3">
    <w:name w:val="normal_uvuceni3"/>
    <w:basedOn w:val="Normal"/>
    <w:rsid w:val="007606E2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</w:rPr>
  </w:style>
  <w:style w:type="paragraph" w:customStyle="1" w:styleId="naslovpropisa1">
    <w:name w:val="naslovpropisa1"/>
    <w:basedOn w:val="Normal"/>
    <w:rsid w:val="007606E2"/>
    <w:pPr>
      <w:spacing w:before="100" w:beforeAutospacing="1" w:after="100" w:afterAutospacing="1" w:line="384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7606E2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</w:rPr>
  </w:style>
  <w:style w:type="paragraph" w:customStyle="1" w:styleId="podnaslovpropisa">
    <w:name w:val="podnaslovpropisa"/>
    <w:basedOn w:val="Normal"/>
    <w:rsid w:val="007606E2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paragraph" w:customStyle="1" w:styleId="naslov4">
    <w:name w:val="naslov4"/>
    <w:basedOn w:val="Normal"/>
    <w:rsid w:val="007606E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naslov5">
    <w:name w:val="naslov5"/>
    <w:basedOn w:val="Normal"/>
    <w:rsid w:val="007606E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normalbold">
    <w:name w:val="normalbold"/>
    <w:basedOn w:val="Normal"/>
    <w:rsid w:val="007606E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normalboldct">
    <w:name w:val="normalboldct"/>
    <w:basedOn w:val="Normal"/>
    <w:rsid w:val="007606E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bolditalic">
    <w:name w:val="normalbolditalic"/>
    <w:basedOn w:val="Normal"/>
    <w:rsid w:val="007606E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normalboldcentar">
    <w:name w:val="normalboldcentar"/>
    <w:basedOn w:val="Normal"/>
    <w:rsid w:val="007606E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stepen">
    <w:name w:val="stepen"/>
    <w:basedOn w:val="Normal"/>
    <w:rsid w:val="0076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</w:rPr>
  </w:style>
  <w:style w:type="paragraph" w:customStyle="1" w:styleId="indeks">
    <w:name w:val="indeks"/>
    <w:basedOn w:val="Normal"/>
    <w:rsid w:val="0076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</w:rPr>
  </w:style>
  <w:style w:type="paragraph" w:customStyle="1" w:styleId="tbezokvira">
    <w:name w:val="tbezokvira"/>
    <w:basedOn w:val="Normal"/>
    <w:rsid w:val="007606E2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evo">
    <w:name w:val="naslovlevo"/>
    <w:basedOn w:val="Normal"/>
    <w:rsid w:val="007606E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7606E2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ormalpraksa">
    <w:name w:val="normalpraksa"/>
    <w:basedOn w:val="Normal"/>
    <w:rsid w:val="007606E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normalctzaglavlje">
    <w:name w:val="normalctzaglavlje"/>
    <w:basedOn w:val="Normal"/>
    <w:rsid w:val="007606E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7606E2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</w:rPr>
  </w:style>
  <w:style w:type="paragraph" w:customStyle="1" w:styleId="webdings">
    <w:name w:val="webdings"/>
    <w:basedOn w:val="Normal"/>
    <w:rsid w:val="007606E2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</w:rPr>
  </w:style>
  <w:style w:type="paragraph" w:customStyle="1" w:styleId="normalct">
    <w:name w:val="normalct"/>
    <w:basedOn w:val="Normal"/>
    <w:rsid w:val="007606E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tabelamala">
    <w:name w:val="tabela_mala"/>
    <w:basedOn w:val="Normal"/>
    <w:rsid w:val="0076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zmenanaslov">
    <w:name w:val="izmena_naslov"/>
    <w:basedOn w:val="Normal"/>
    <w:rsid w:val="007606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zmenapodnaslov">
    <w:name w:val="izmena_podnaslov"/>
    <w:basedOn w:val="Normal"/>
    <w:rsid w:val="007606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zmenaclan">
    <w:name w:val="izmena_clan"/>
    <w:basedOn w:val="Normal"/>
    <w:rsid w:val="007606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zmenatekst">
    <w:name w:val="izmena_tekst"/>
    <w:basedOn w:val="Normal"/>
    <w:rsid w:val="0076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">
    <w:name w:val="normalcentar"/>
    <w:basedOn w:val="Normal"/>
    <w:rsid w:val="007606E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normalcentaritalic">
    <w:name w:val="normalcentaritalic"/>
    <w:basedOn w:val="Normal"/>
    <w:rsid w:val="007606E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normalitalic">
    <w:name w:val="normalitalic"/>
    <w:basedOn w:val="Normal"/>
    <w:rsid w:val="007606E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tsaokvirom">
    <w:name w:val="tsaokvirom"/>
    <w:basedOn w:val="Normal"/>
    <w:rsid w:val="007606E2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ole">
    <w:name w:val="t_okvirdole"/>
    <w:basedOn w:val="Normal"/>
    <w:rsid w:val="007606E2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">
    <w:name w:val="t_okvirgore"/>
    <w:basedOn w:val="Normal"/>
    <w:rsid w:val="007606E2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dole">
    <w:name w:val="t_okvirgoredole"/>
    <w:basedOn w:val="Normal"/>
    <w:rsid w:val="007606E2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">
    <w:name w:val="t_okvirlevo"/>
    <w:basedOn w:val="Normal"/>
    <w:rsid w:val="007606E2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esno">
    <w:name w:val="t_okvirdesno"/>
    <w:basedOn w:val="Normal"/>
    <w:rsid w:val="007606E2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esno">
    <w:name w:val="t_okvirlevodesno"/>
    <w:basedOn w:val="Normal"/>
    <w:rsid w:val="007606E2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esnogore">
    <w:name w:val="t_okvirlevodesnogore"/>
    <w:basedOn w:val="Normal"/>
    <w:rsid w:val="007606E2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esnodole">
    <w:name w:val="t_okvirlevodesnodole"/>
    <w:basedOn w:val="Normal"/>
    <w:rsid w:val="007606E2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ole">
    <w:name w:val="t_okvirlevodole"/>
    <w:basedOn w:val="Normal"/>
    <w:rsid w:val="007606E2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esnodole">
    <w:name w:val="t_okvirdesnodole"/>
    <w:basedOn w:val="Normal"/>
    <w:rsid w:val="007606E2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gore">
    <w:name w:val="t_okvirlevogore"/>
    <w:basedOn w:val="Normal"/>
    <w:rsid w:val="007606E2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esnogore">
    <w:name w:val="t_okvirdesnogore"/>
    <w:basedOn w:val="Normal"/>
    <w:rsid w:val="007606E2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doledesno">
    <w:name w:val="t_okvirgoredoledesno"/>
    <w:basedOn w:val="Normal"/>
    <w:rsid w:val="007606E2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dolelevo">
    <w:name w:val="t_okvirgoredolelevo"/>
    <w:basedOn w:val="Normal"/>
    <w:rsid w:val="007606E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rsid w:val="007606E2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wyq010---deo">
    <w:name w:val="wyq010---deo"/>
    <w:basedOn w:val="Normal"/>
    <w:rsid w:val="007606E2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7606E2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</w:rPr>
  </w:style>
  <w:style w:type="paragraph" w:customStyle="1" w:styleId="wyq030---glava">
    <w:name w:val="wyq030---glava"/>
    <w:basedOn w:val="Normal"/>
    <w:rsid w:val="007606E2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7606E2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7606E2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7606E2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7606E2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7606E2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7606E2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7606E2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7606E2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wyq110---naslov-clana">
    <w:name w:val="wyq110---naslov-clana"/>
    <w:basedOn w:val="Normal"/>
    <w:rsid w:val="007606E2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wyq120---podnaslov-clana">
    <w:name w:val="wyq120---podnaslov-clana"/>
    <w:basedOn w:val="Normal"/>
    <w:rsid w:val="007606E2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010---deo">
    <w:name w:val="010---deo"/>
    <w:basedOn w:val="Normal"/>
    <w:rsid w:val="007606E2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7606E2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</w:rPr>
  </w:style>
  <w:style w:type="paragraph" w:customStyle="1" w:styleId="030---glava">
    <w:name w:val="030---glava"/>
    <w:basedOn w:val="Normal"/>
    <w:rsid w:val="007606E2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7606E2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7606E2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7606E2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7606E2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7606E2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7606E2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7606E2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7606E2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110---naslov-clana">
    <w:name w:val="110---naslov-clana"/>
    <w:basedOn w:val="Normal"/>
    <w:rsid w:val="007606E2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120---podnaslov-clana">
    <w:name w:val="120---podnaslov-clana"/>
    <w:basedOn w:val="Normal"/>
    <w:rsid w:val="007606E2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uvuceni">
    <w:name w:val="uvuceni"/>
    <w:basedOn w:val="Normal"/>
    <w:rsid w:val="007606E2"/>
    <w:pPr>
      <w:spacing w:after="24" w:line="240" w:lineRule="auto"/>
      <w:ind w:left="720" w:hanging="288"/>
    </w:pPr>
    <w:rPr>
      <w:rFonts w:ascii="Arial" w:eastAsia="Times New Roman" w:hAnsi="Arial" w:cs="Arial"/>
    </w:rPr>
  </w:style>
  <w:style w:type="paragraph" w:customStyle="1" w:styleId="uvuceni2">
    <w:name w:val="uvuceni2"/>
    <w:basedOn w:val="Normal"/>
    <w:rsid w:val="007606E2"/>
    <w:pPr>
      <w:spacing w:after="24" w:line="240" w:lineRule="auto"/>
      <w:ind w:left="720" w:hanging="408"/>
    </w:pPr>
    <w:rPr>
      <w:rFonts w:ascii="Arial" w:eastAsia="Times New Roman" w:hAnsi="Arial" w:cs="Arial"/>
    </w:rPr>
  </w:style>
  <w:style w:type="paragraph" w:customStyle="1" w:styleId="tabelaepress">
    <w:name w:val="tabela_epress"/>
    <w:basedOn w:val="Normal"/>
    <w:rsid w:val="007606E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izmred">
    <w:name w:val="izm_red"/>
    <w:basedOn w:val="Normal"/>
    <w:rsid w:val="0076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izmgreen">
    <w:name w:val="izm_green"/>
    <w:basedOn w:val="Normal"/>
    <w:rsid w:val="0076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</w:rPr>
  </w:style>
  <w:style w:type="paragraph" w:customStyle="1" w:styleId="izmgreenback">
    <w:name w:val="izm_greenback"/>
    <w:basedOn w:val="Normal"/>
    <w:rsid w:val="007606E2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t">
    <w:name w:val="ct"/>
    <w:basedOn w:val="Normal"/>
    <w:rsid w:val="0076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</w:rPr>
  </w:style>
  <w:style w:type="paragraph" w:customStyle="1" w:styleId="hrct">
    <w:name w:val="hr_ct"/>
    <w:basedOn w:val="Normal"/>
    <w:rsid w:val="007606E2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1"/>
    <w:basedOn w:val="Normal"/>
    <w:rsid w:val="007606E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s2">
    <w:name w:val="s2"/>
    <w:basedOn w:val="Normal"/>
    <w:rsid w:val="007606E2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</w:rPr>
  </w:style>
  <w:style w:type="paragraph" w:customStyle="1" w:styleId="s3">
    <w:name w:val="s3"/>
    <w:basedOn w:val="Normal"/>
    <w:rsid w:val="007606E2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</w:rPr>
  </w:style>
  <w:style w:type="paragraph" w:customStyle="1" w:styleId="s4">
    <w:name w:val="s4"/>
    <w:basedOn w:val="Normal"/>
    <w:rsid w:val="007606E2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</w:rPr>
  </w:style>
  <w:style w:type="paragraph" w:customStyle="1" w:styleId="s5">
    <w:name w:val="s5"/>
    <w:basedOn w:val="Normal"/>
    <w:rsid w:val="007606E2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</w:rPr>
  </w:style>
  <w:style w:type="paragraph" w:customStyle="1" w:styleId="s6">
    <w:name w:val="s6"/>
    <w:basedOn w:val="Normal"/>
    <w:rsid w:val="007606E2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</w:rPr>
  </w:style>
  <w:style w:type="paragraph" w:customStyle="1" w:styleId="s7">
    <w:name w:val="s7"/>
    <w:basedOn w:val="Normal"/>
    <w:rsid w:val="007606E2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</w:rPr>
  </w:style>
  <w:style w:type="paragraph" w:customStyle="1" w:styleId="s8">
    <w:name w:val="s8"/>
    <w:basedOn w:val="Normal"/>
    <w:rsid w:val="007606E2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</w:rPr>
  </w:style>
  <w:style w:type="paragraph" w:customStyle="1" w:styleId="s9">
    <w:name w:val="s9"/>
    <w:basedOn w:val="Normal"/>
    <w:rsid w:val="007606E2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</w:rPr>
  </w:style>
  <w:style w:type="paragraph" w:customStyle="1" w:styleId="s10">
    <w:name w:val="s10"/>
    <w:basedOn w:val="Normal"/>
    <w:rsid w:val="007606E2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</w:rPr>
  </w:style>
  <w:style w:type="paragraph" w:customStyle="1" w:styleId="s11">
    <w:name w:val="s11"/>
    <w:basedOn w:val="Normal"/>
    <w:rsid w:val="007606E2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</w:rPr>
  </w:style>
  <w:style w:type="paragraph" w:customStyle="1" w:styleId="s12">
    <w:name w:val="s12"/>
    <w:basedOn w:val="Normal"/>
    <w:rsid w:val="007606E2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</w:rPr>
  </w:style>
  <w:style w:type="paragraph" w:customStyle="1" w:styleId="tooltiptext">
    <w:name w:val="tooltiptext"/>
    <w:basedOn w:val="Normal"/>
    <w:rsid w:val="0076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kschar">
    <w:name w:val="indekschar"/>
    <w:basedOn w:val="DefaultParagraphFont"/>
    <w:rsid w:val="007606E2"/>
    <w:rPr>
      <w:vertAlign w:val="subscript"/>
    </w:rPr>
  </w:style>
  <w:style w:type="paragraph" w:customStyle="1" w:styleId="tooltiptext1">
    <w:name w:val="tooltiptext1"/>
    <w:basedOn w:val="Normal"/>
    <w:rsid w:val="007606E2"/>
    <w:pPr>
      <w:shd w:val="clear" w:color="auto" w:fill="555555"/>
      <w:spacing w:before="100" w:beforeAutospacing="1" w:after="100" w:afterAutospacing="1" w:line="240" w:lineRule="auto"/>
      <w:ind w:left="-2400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character" w:customStyle="1" w:styleId="stepen1">
    <w:name w:val="stepen1"/>
    <w:basedOn w:val="DefaultParagraphFont"/>
    <w:rsid w:val="007606E2"/>
    <w:rPr>
      <w:sz w:val="15"/>
      <w:szCs w:val="15"/>
      <w:vertAlign w:val="superscript"/>
    </w:rPr>
  </w:style>
  <w:style w:type="character" w:customStyle="1" w:styleId="indeks1">
    <w:name w:val="indeks1"/>
    <w:basedOn w:val="DefaultParagraphFont"/>
    <w:rsid w:val="007606E2"/>
    <w:rPr>
      <w:sz w:val="15"/>
      <w:szCs w:val="15"/>
      <w:vertAlign w:val="subscript"/>
    </w:rPr>
  </w:style>
  <w:style w:type="character" w:customStyle="1" w:styleId="normal1">
    <w:name w:val="normal1"/>
    <w:basedOn w:val="DefaultParagraphFont"/>
    <w:rsid w:val="007606E2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Škiljević</dc:creator>
  <cp:keywords/>
  <dc:description/>
  <cp:lastModifiedBy>Sanja Škiljević</cp:lastModifiedBy>
  <cp:revision>2</cp:revision>
  <dcterms:created xsi:type="dcterms:W3CDTF">2019-12-10T13:59:00Z</dcterms:created>
  <dcterms:modified xsi:type="dcterms:W3CDTF">2019-12-10T14:00:00Z</dcterms:modified>
</cp:coreProperties>
</file>