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AC6349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AC6349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AC6349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AC6349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AC6349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AC634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AC6349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AC6349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251"/>
              <w:gridCol w:w="4252"/>
            </w:tblGrid>
            <w:tr w:rsidR="00D22F27" w:rsidRPr="00AC6349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11537D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11537D">
                    <w:rPr>
                      <w:rFonts w:asciiTheme="minorHAnsi" w:hAnsiTheme="minorHAnsi" w:cstheme="minorHAnsi"/>
                    </w:rPr>
                    <w:t>140-501-721/2021-05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593BA7">
                    <w:rPr>
                      <w:rFonts w:asciiTheme="minorHAnsi" w:hAnsiTheme="minorHAnsi" w:cstheme="minorHAnsi"/>
                      <w:lang w:val="sr-Cyrl-RS"/>
                    </w:rPr>
                    <w:t>309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6"/>
                    <w:gridCol w:w="1446"/>
                  </w:tblGrid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  <w:r w:rsidR="006560A2" w:rsidRPr="00AC6349">
                          <w:rPr>
                            <w:rFonts w:asciiTheme="minorHAnsi" w:hAnsiTheme="minorHAnsi" w:cstheme="minorHAnsi"/>
                          </w:rPr>
                          <w:t xml:space="preserve">             </w:t>
                        </w:r>
                        <w:r w:rsidR="0011537D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6560A2" w:rsidRPr="00AC6349">
                          <w:rPr>
                            <w:rFonts w:asciiTheme="minorHAnsi" w:hAnsiTheme="minorHAnsi" w:cstheme="minorHAnsi"/>
                          </w:rPr>
                          <w:t xml:space="preserve"> X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  <w:r w:rsidR="0011537D">
                          <w:rPr>
                            <w:rFonts w:asciiTheme="minorHAnsi" w:hAnsiTheme="minorHAnsi" w:cstheme="minorHAnsi"/>
                          </w:rPr>
                          <w:t xml:space="preserve">                 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AC6349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11537D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AC634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1537D">
                    <w:rPr>
                      <w:rFonts w:asciiTheme="minorHAnsi" w:hAnsiTheme="minorHAnsi" w:cstheme="minorHAnsi"/>
                      <w:lang w:val="sr-Latn-RS"/>
                    </w:rPr>
                    <w:t>INVEST INŽENJERING DOO NOVI SAD</w:t>
                  </w:r>
                  <w:r w:rsidRPr="00AC6349">
                    <w:rPr>
                      <w:rFonts w:asciiTheme="minorHAnsi" w:hAnsiTheme="minorHAnsi" w:cstheme="minorHAnsi"/>
                    </w:rPr>
                    <w:br/>
                    <w:t>Регистарски број или име и лични број:</w:t>
                  </w:r>
                  <w:r w:rsidR="00E85A1B" w:rsidRPr="00AC6349">
                    <w:rPr>
                      <w:rFonts w:asciiTheme="minorHAnsi" w:hAnsiTheme="minorHAnsi" w:cstheme="minorHAnsi"/>
                    </w:rPr>
                    <w:t xml:space="preserve"> M</w:t>
                  </w:r>
                  <w:r w:rsidR="00E85A1B" w:rsidRPr="00AC6349">
                    <w:rPr>
                      <w:rFonts w:asciiTheme="minorHAnsi" w:hAnsiTheme="minorHAnsi" w:cstheme="minorHAnsi"/>
                      <w:lang w:val="sr-Cyrl-RS"/>
                    </w:rPr>
                    <w:t>Б</w:t>
                  </w:r>
                  <w:r w:rsidR="0011537D">
                    <w:rPr>
                      <w:rFonts w:asciiTheme="minorHAnsi" w:hAnsiTheme="minorHAnsi" w:cstheme="minorHAnsi"/>
                    </w:rPr>
                    <w:t xml:space="preserve"> 08227209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11537D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AC6349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754520" w:rsidRDefault="00D22F27" w:rsidP="006560A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Покрајински сектретаријат за урбанизам и заштиту животне средине</w:t>
                  </w:r>
                  <w:r w:rsidR="00754520">
                    <w:rPr>
                      <w:rFonts w:asciiTheme="minorHAnsi" w:hAnsiTheme="minorHAnsi" w:cstheme="minorHAnsi"/>
                      <w:lang w:val="sr-Latn-RS"/>
                    </w:rPr>
                    <w:t xml:space="preserve">, 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>АП Војводина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B65DA6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593BA7" w:rsidRPr="00593BA7">
                    <w:rPr>
                      <w:rFonts w:asciiTheme="minorHAnsi" w:hAnsiTheme="minorHAnsi" w:cstheme="minorHAnsi"/>
                      <w:lang w:val="sr-Cyrl-RS"/>
                    </w:rPr>
                    <w:t>309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 </w:t>
                  </w:r>
                  <w:r w:rsidR="00B65DA6" w:rsidRPr="00B65DA6">
                    <w:rPr>
                      <w:rFonts w:asciiTheme="minorHAnsi" w:hAnsiTheme="minorHAnsi" w:cstheme="minorHAnsi"/>
                      <w:lang w:val="sr-Cyrl-RS"/>
                    </w:rPr>
                    <w:t>03</w:t>
                  </w:r>
                  <w:r w:rsidR="006560A2" w:rsidRPr="00B65DA6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B65DA6" w:rsidRPr="00B65DA6">
                    <w:rPr>
                      <w:rFonts w:asciiTheme="minorHAnsi" w:hAnsiTheme="minorHAnsi" w:cstheme="minorHAnsi"/>
                      <w:lang w:val="sr-Cyrl-RS"/>
                    </w:rPr>
                    <w:t>08</w:t>
                  </w:r>
                  <w:r w:rsidR="006560A2" w:rsidRPr="00B65DA6">
                    <w:rPr>
                      <w:rFonts w:asciiTheme="minorHAnsi" w:hAnsiTheme="minorHAnsi" w:cstheme="minorHAnsi"/>
                      <w:lang w:val="sr-Cyrl-RS"/>
                    </w:rPr>
                    <w:t>.2021.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489"/>
                    <w:gridCol w:w="1119"/>
                    <w:gridCol w:w="80"/>
                    <w:gridCol w:w="1119"/>
                    <w:gridCol w:w="4576"/>
                  </w:tblGrid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560A2" w:rsidRPr="00AC6349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>од</w:t>
                        </w:r>
                      </w:p>
                      <w:p w:rsidR="00D22F27" w:rsidRPr="00AC6349" w:rsidRDefault="00B65DA6" w:rsidP="00B65DA6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B65DA6">
                          <w:rPr>
                            <w:rFonts w:asciiTheme="minorHAnsi" w:hAnsiTheme="minorHAnsi" w:cstheme="minorHAnsi"/>
                            <w:lang w:val="sr-Cyrl-RS"/>
                          </w:rPr>
                          <w:t>03.08.2021.</w:t>
                        </w:r>
                        <w:r w:rsidR="00D22F27" w:rsidRPr="00754520">
                          <w:rPr>
                            <w:rFonts w:asciiTheme="minorHAnsi" w:hAnsiTheme="minorHAnsi" w:cstheme="minorHAnsi"/>
                            <w:color w:val="FF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560A2" w:rsidRPr="00AC6349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>до</w:t>
                        </w:r>
                      </w:p>
                      <w:p w:rsidR="00D22F27" w:rsidRPr="00AC6349" w:rsidRDefault="00B65DA6" w:rsidP="00B65DA6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B65DA6">
                          <w:rPr>
                            <w:rFonts w:asciiTheme="minorHAnsi" w:hAnsiTheme="minorHAnsi" w:cstheme="minorHAnsi"/>
                            <w:lang w:val="sr-Cyrl-RS"/>
                          </w:rPr>
                          <w:t>03.08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.2026.</w:t>
                        </w:r>
                        <w:r w:rsidR="00D22F27" w:rsidRPr="00754520">
                          <w:rPr>
                            <w:rFonts w:asciiTheme="minorHAnsi" w:hAnsiTheme="minorHAnsi" w:cstheme="minorHAnsi"/>
                            <w:color w:val="FF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AC6349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6560A2" w:rsidRPr="00AC6349">
                    <w:rPr>
                      <w:rFonts w:asciiTheme="minorHAnsi" w:hAnsiTheme="minorHAnsi" w:cstheme="minorHAnsi"/>
                    </w:rPr>
                    <w:t>сакупљање</w:t>
                  </w:r>
                  <w:r w:rsidR="008E0D6A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и транспорт отпада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:</w:t>
                  </w:r>
                  <w:r w:rsidR="008E0D6A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сакупљање 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 xml:space="preserve">и транспорт за сопствене потребе </w:t>
                  </w:r>
                  <w:r w:rsidR="008E0D6A" w:rsidRPr="00AC6349">
                    <w:rPr>
                      <w:rFonts w:asciiTheme="minorHAnsi" w:hAnsiTheme="minorHAnsi" w:cstheme="minorHAnsi"/>
                      <w:lang w:val="sr-Cyrl-RS"/>
                    </w:rPr>
                    <w:t>неопасног отпада на територији АПВ</w:t>
                  </w:r>
                </w:p>
                <w:p w:rsidR="006560A2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highlight w:val="yellow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6560A2" w:rsidRDefault="006560A2" w:rsidP="006560A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  <w:lang w:val="sr-Cyrl-RS"/>
                    </w:rPr>
                    <w:t>Индесни бројеви: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0"/>
                    <w:gridCol w:w="7313"/>
                  </w:tblGrid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17 01 01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бетон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 xml:space="preserve">17 01 02 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цигле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17 02 01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дрво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17 02 02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стакло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17 02 03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пластика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17 05 04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17 05 06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17 08 02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грађевински материјал на бази гипса другачији од оних наведених у 17 08 01</w:t>
                        </w:r>
                      </w:p>
                    </w:tc>
                  </w:tr>
                  <w:tr w:rsidR="00754520" w:rsidTr="00A841A0">
                    <w:tc>
                      <w:tcPr>
                        <w:tcW w:w="1255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17 09 04</w:t>
                        </w:r>
                      </w:p>
                    </w:tc>
                    <w:tc>
                      <w:tcPr>
                        <w:tcW w:w="9201" w:type="dxa"/>
                      </w:tcPr>
                      <w:p w:rsidR="00754520" w:rsidRDefault="00754520" w:rsidP="00754520">
                        <w:pPr>
                          <w:rPr>
                            <w:rFonts w:cstheme="minorHAnsi"/>
                            <w:lang w:val="ru-RU"/>
                          </w:rPr>
                        </w:pPr>
                        <w:r>
                          <w:rPr>
                            <w:rFonts w:cstheme="minorHAnsi"/>
                            <w:lang w:val="ru-RU"/>
                          </w:rPr>
                          <w:t>мешани отпади од грађења и рушења другачији од оних наведених у 17 09 01 и 17 09 02 и 17 09 03</w:t>
                        </w:r>
                      </w:p>
                    </w:tc>
                  </w:tr>
                </w:tbl>
                <w:p w:rsidR="00754520" w:rsidRDefault="00D22F27" w:rsidP="006560A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Локација, капацитет постројења и кратак опис: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  <w:p w:rsidR="00754520" w:rsidRDefault="00D22F27" w:rsidP="006560A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lastRenderedPageBreak/>
                    <w:br/>
                    <w:t>Начин управљања отпадом: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сакупљање 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 xml:space="preserve">и транспорт за сопствене потребе 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неопасног отпада</w:t>
                  </w:r>
                </w:p>
                <w:p w:rsidR="00A57AD5" w:rsidRDefault="00D22F27" w:rsidP="00A57AD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br/>
                    <w:t>Превозно средство:</w:t>
                  </w:r>
                  <w:r w:rsidR="00754520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A57AD5" w:rsidRDefault="00754520" w:rsidP="00A57AD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754520">
                    <w:rPr>
                      <w:rFonts w:asciiTheme="minorHAnsi" w:hAnsiTheme="minorHAnsi" w:cstheme="minorHAnsi"/>
                      <w:lang w:val="sr-Cyrl-RS"/>
                    </w:rPr>
                    <w:t>KAMAZ 53229, укупна маса: 24000kg, регистарске ознаке:  NS571-FU</w:t>
                  </w:r>
                  <w:r w:rsidR="00A57AD5">
                    <w:rPr>
                      <w:rFonts w:asciiTheme="minorHAnsi" w:hAnsiTheme="minorHAnsi" w:cstheme="minorHAnsi"/>
                      <w:lang w:val="sr-Latn-RS"/>
                    </w:rPr>
                    <w:t xml:space="preserve">; </w:t>
                  </w:r>
                </w:p>
                <w:p w:rsidR="00A57AD5" w:rsidRDefault="00754520" w:rsidP="00A57AD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754520">
                    <w:rPr>
                      <w:rFonts w:asciiTheme="minorHAnsi" w:hAnsiTheme="minorHAnsi" w:cstheme="minorHAnsi"/>
                      <w:lang w:val="sr-Cyrl-RS"/>
                    </w:rPr>
                    <w:t>KAMAZ 55111, укупна маса: 22200kg, регистарске ознаке:  NS074-NB</w:t>
                  </w:r>
                  <w:r w:rsidR="00A57AD5">
                    <w:rPr>
                      <w:rFonts w:asciiTheme="minorHAnsi" w:hAnsiTheme="minorHAnsi" w:cstheme="minorHAnsi"/>
                      <w:lang w:val="sr-Latn-RS"/>
                    </w:rPr>
                    <w:t>;</w:t>
                  </w:r>
                </w:p>
                <w:p w:rsidR="00A57AD5" w:rsidRDefault="00754520" w:rsidP="00A57AD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754520">
                    <w:rPr>
                      <w:rFonts w:asciiTheme="minorHAnsi" w:hAnsiTheme="minorHAnsi" w:cstheme="minorHAnsi"/>
                      <w:lang w:val="sr-Cyrl-RS"/>
                    </w:rPr>
                    <w:t>MERCEDES ATEGO 1823L, укупна маса: 18000kg, регистарске ознаке:  NS314-BJ</w:t>
                  </w:r>
                  <w:r w:rsidR="00A57AD5">
                    <w:rPr>
                      <w:rFonts w:asciiTheme="minorHAnsi" w:hAnsiTheme="minorHAnsi" w:cstheme="minorHAnsi"/>
                      <w:lang w:val="sr-Latn-RS"/>
                    </w:rPr>
                    <w:t xml:space="preserve">; </w:t>
                  </w:r>
                </w:p>
                <w:p w:rsidR="00A57AD5" w:rsidRDefault="00754520" w:rsidP="00A57AD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754520">
                    <w:rPr>
                      <w:rFonts w:asciiTheme="minorHAnsi" w:hAnsiTheme="minorHAnsi" w:cstheme="minorHAnsi"/>
                      <w:lang w:val="sr-Cyrl-RS"/>
                    </w:rPr>
                    <w:t>ZASTAVA 85.14 TURBO ZETA ZETA, укупна маса: 8200kg, регистарске ознаке: NS352-FH</w:t>
                  </w:r>
                </w:p>
                <w:p w:rsidR="00A57AD5" w:rsidRDefault="00A57AD5" w:rsidP="00A57AD5">
                  <w:pPr>
                    <w:jc w:val="both"/>
                    <w:rPr>
                      <w:rFonts w:cstheme="minorHAnsi"/>
                    </w:rPr>
                  </w:pPr>
                </w:p>
                <w:p w:rsidR="00A57AD5" w:rsidRDefault="00D22F27" w:rsidP="00A57AD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Мере заштите животне средине и контрола загађивања:</w:t>
                  </w:r>
                  <w:r w:rsidR="009B4397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6560A2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Привредно друштво 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INVEST INŽENJERING DOO</w:t>
                  </w:r>
                  <w:r w:rsidR="006560A2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обавља делатност сакупљања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и транспорта за сопствене потребе неопасног отпада. 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За с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акупљање неопасног отпада 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користи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радн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у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машин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у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PALAZZANI PB 30 PALOAD, регистарка ознака NSABY-43. 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За транспорт отпада корист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e 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се возила марке 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KAMAZ 53229, KAMAZ 55111, MERCEDES ATEGO 1823L, ZASTAVA 85.14 TURBO ZETA ZETA. </w:t>
                  </w:r>
                  <w:r w:rsidR="006560A2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На овај начин се превентивно делује на спречавање загађења животне средине.</w:t>
                  </w:r>
                </w:p>
                <w:p w:rsidR="00A57AD5" w:rsidRDefault="00D22F27" w:rsidP="00A57AD5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br/>
                    <w:t>Спречавање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удеса и одговор на удес: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A57AD5" w:rsidRDefault="00D22F27" w:rsidP="00A57AD5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br/>
                    <w:t>Мере у случају коначног престанка рада постројења:</w:t>
                  </w:r>
                  <w:r w:rsid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D22F27" w:rsidRPr="00A57AD5" w:rsidRDefault="00D22F27" w:rsidP="00A57AD5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br/>
                    <w:t xml:space="preserve">Извештавања: </w:t>
                  </w:r>
                  <w:r w:rsidR="006560A2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Привредно друштво </w:t>
                  </w:r>
                  <w:r w:rsidR="00A57AD5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INVEST INŽENJERING DOO</w:t>
                  </w:r>
                  <w:r w:rsidR="006560A2" w:rsidRPr="00A57AD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, 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</w:tc>
            </w:tr>
          </w:tbl>
          <w:p w:rsidR="00D22F27" w:rsidRPr="00AC6349" w:rsidRDefault="00D22F27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22F27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8503"/>
            </w:tblGrid>
            <w:tr w:rsidR="00D22F27" w:rsidRPr="006560A2" w:rsidTr="006560A2">
              <w:trPr>
                <w:tblCellSpacing w:w="0" w:type="dxa"/>
              </w:trPr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6560A2">
                    <w:rPr>
                      <w:rFonts w:asciiTheme="minorHAnsi" w:hAnsiTheme="minorHAnsi" w:cstheme="minorHAnsi"/>
                    </w:rPr>
                    <w:lastRenderedPageBreak/>
                    <w:t xml:space="preserve">11. </w:t>
                  </w:r>
                </w:p>
              </w:tc>
              <w:tc>
                <w:tcPr>
                  <w:tcW w:w="4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A57AD5" w:rsidP="00A57AD5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t>: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>
                    <w:rPr>
                      <w:rFonts w:asciiTheme="minorHAnsi" w:hAnsiTheme="minorHAnsi" w:cstheme="minorHAnsi"/>
                      <w:lang w:val="sr-Cyrl-RS"/>
                    </w:rPr>
                    <w:t>измена дозволе</w:t>
                  </w:r>
                  <w:r>
                    <w:rPr>
                      <w:rFonts w:asciiTheme="minorHAnsi" w:hAnsiTheme="minorHAnsi" w:cstheme="minorHAnsi"/>
                    </w:rPr>
                    <w:br/>
                    <w:t>b) одузимање дозволе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RPr="006560A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6560A2">
                    <w:rPr>
                      <w:rFonts w:asciiTheme="minorHAnsi" w:hAnsiTheme="minorHAnsi" w:cstheme="minorHAnsi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A57AD5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Pr="006560A2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6560A2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6560A2" w:rsidRDefault="00A57AD5">
            <w:pPr>
              <w:pStyle w:val="normalcenta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Име и презиме овлашћеног лица</w:t>
            </w:r>
            <w:r w:rsidR="00D22F27" w:rsidRPr="006560A2">
              <w:rPr>
                <w:rFonts w:asciiTheme="minorHAnsi" w:hAnsiTheme="minorHAnsi" w:cstheme="minorHAnsi"/>
              </w:rPr>
              <w:br/>
              <w:t xml:space="preserve">___________________________________________ </w:t>
            </w:r>
          </w:p>
          <w:p w:rsidR="00D22F27" w:rsidRPr="006560A2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6560A2">
              <w:rPr>
                <w:rFonts w:asciiTheme="minorHAnsi" w:hAnsiTheme="minorHAnsi" w:cstheme="minorHAnsi"/>
              </w:rP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B65DA6">
            <w:pPr>
              <w:pStyle w:val="Normal1"/>
            </w:pPr>
            <w:bookmarkStart w:id="1" w:name="_GoBack"/>
            <w:bookmarkEnd w:id="1"/>
            <w:r>
              <w:t xml:space="preserve"> 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</w:tc>
      </w:tr>
    </w:tbl>
    <w:p w:rsidR="002366D0" w:rsidRDefault="002366D0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0C" w:rsidRDefault="00C57E0C">
      <w:r>
        <w:separator/>
      </w:r>
    </w:p>
  </w:endnote>
  <w:endnote w:type="continuationSeparator" w:id="0">
    <w:p w:rsidR="00C57E0C" w:rsidRDefault="00C5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0C" w:rsidRDefault="00C57E0C">
      <w:r>
        <w:separator/>
      </w:r>
    </w:p>
  </w:footnote>
  <w:footnote w:type="continuationSeparator" w:id="0">
    <w:p w:rsidR="00C57E0C" w:rsidRDefault="00C5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11C2"/>
    <w:multiLevelType w:val="hybridMultilevel"/>
    <w:tmpl w:val="04F80BB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6"/>
  </w:num>
  <w:num w:numId="8">
    <w:abstractNumId w:val="12"/>
  </w:num>
  <w:num w:numId="9">
    <w:abstractNumId w:val="12"/>
  </w:num>
  <w:num w:numId="10">
    <w:abstractNumId w:val="15"/>
  </w:num>
  <w:num w:numId="11">
    <w:abstractNumId w:val="12"/>
  </w:num>
  <w:num w:numId="12">
    <w:abstractNumId w:val="12"/>
  </w:num>
  <w:num w:numId="13">
    <w:abstractNumId w:val="12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12"/>
  </w:num>
  <w:num w:numId="19">
    <w:abstractNumId w:val="16"/>
  </w:num>
  <w:num w:numId="20">
    <w:abstractNumId w:val="12"/>
  </w:num>
  <w:num w:numId="21">
    <w:abstractNumId w:val="1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4"/>
  </w:num>
  <w:num w:numId="35">
    <w:abstractNumId w:val="13"/>
  </w:num>
  <w:num w:numId="36">
    <w:abstractNumId w:val="13"/>
  </w:num>
  <w:num w:numId="37">
    <w:abstractNumId w:val="17"/>
  </w:num>
  <w:num w:numId="38">
    <w:abstractNumId w:val="13"/>
  </w:num>
  <w:num w:numId="39">
    <w:abstractNumId w:val="14"/>
  </w:num>
  <w:num w:numId="40">
    <w:abstractNumId w:val="1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11537D"/>
    <w:rsid w:val="001A7E73"/>
    <w:rsid w:val="002366D0"/>
    <w:rsid w:val="00323BCB"/>
    <w:rsid w:val="003F659A"/>
    <w:rsid w:val="004C6591"/>
    <w:rsid w:val="00593BA7"/>
    <w:rsid w:val="006560A2"/>
    <w:rsid w:val="00746B02"/>
    <w:rsid w:val="00754520"/>
    <w:rsid w:val="007C7216"/>
    <w:rsid w:val="008E0D6A"/>
    <w:rsid w:val="009B4397"/>
    <w:rsid w:val="00A57AD5"/>
    <w:rsid w:val="00AB23A9"/>
    <w:rsid w:val="00AC15DC"/>
    <w:rsid w:val="00AC6349"/>
    <w:rsid w:val="00B052F3"/>
    <w:rsid w:val="00B65DA6"/>
    <w:rsid w:val="00C11276"/>
    <w:rsid w:val="00C57E0C"/>
    <w:rsid w:val="00D22F27"/>
    <w:rsid w:val="00E85A1B"/>
    <w:rsid w:val="00ED5304"/>
    <w:rsid w:val="00F16A84"/>
    <w:rsid w:val="00F73179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6A20A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customStyle="1" w:styleId="CharCharCharCharCharCharCharCharChar">
    <w:name w:val="Char Char Char Char Char Char Char Char Char"/>
    <w:basedOn w:val="Normal"/>
    <w:semiHidden/>
    <w:rsid w:val="006560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5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57A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Olivera Simic</cp:lastModifiedBy>
  <cp:revision>11</cp:revision>
  <dcterms:created xsi:type="dcterms:W3CDTF">2021-07-07T10:55:00Z</dcterms:created>
  <dcterms:modified xsi:type="dcterms:W3CDTF">2021-08-10T07:58:00Z</dcterms:modified>
</cp:coreProperties>
</file>