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4082"/>
              <w:gridCol w:w="4246"/>
            </w:tblGrid>
            <w:tr w:rsidR="00D22F27" w:rsidRPr="00F226AF" w:rsidTr="00B36D6E">
              <w:trPr>
                <w:tblCellSpacing w:w="0" w:type="dxa"/>
              </w:trPr>
              <w:tc>
                <w:tcPr>
                  <w:tcW w:w="1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61482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</w:rPr>
                    <w:t>311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61482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857392" w:rsidRPr="00F226AF">
                    <w:rPr>
                      <w:rFonts w:asciiTheme="minorHAnsi" w:hAnsiTheme="minorHAnsi"/>
                      <w:sz w:val="18"/>
                      <w:szCs w:val="18"/>
                    </w:rPr>
                    <w:t>140-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501-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1009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/2020</w:t>
                  </w:r>
                  <w:r w:rsidR="0085739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-05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2"/>
                    <w:gridCol w:w="1444"/>
                  </w:tblGrid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2C373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AF07A6" w:rsidP="00AF07A6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50B21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373B" w:rsidRPr="00F226AF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оператера постројења за складиштење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неопасног и опасног 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отпада коме је издата дозвола</w:t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  <w:r w:rsidR="002C373B" w:rsidRPr="00F226A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C61482">
                    <w:rPr>
                      <w:rFonts w:asciiTheme="minorHAnsi" w:hAnsiTheme="minorHAnsi" w:cstheme="minorHAnsi"/>
                    </w:rPr>
                    <w:t>METAL FORMA KOS d.o.o. Pančevo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 xml:space="preserve">, </w:t>
                  </w:r>
                  <w:r w:rsidR="00C61482" w:rsidRPr="00244E31">
                    <w:rPr>
                      <w:rFonts w:asciiTheme="minorHAnsi" w:hAnsiTheme="minorHAnsi" w:cstheme="minorHAnsi"/>
                      <w:lang w:val="sr-Cyrl-RS"/>
                    </w:rPr>
                    <w:t>Кудељарски насип Прва бр. 122д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 xml:space="preserve">, 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>Панчево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број:</w:t>
                  </w:r>
                  <w:r w:rsidR="00AF07A6"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="00C61482" w:rsidRPr="00244E31">
                    <w:rPr>
                      <w:rFonts w:asciiTheme="minorHAnsi" w:hAnsiTheme="minorHAnsi" w:cstheme="minorHAnsi"/>
                      <w:bCs/>
                      <w:lang w:val="sr-Cyrl-RS"/>
                    </w:rPr>
                    <w:t>20625830</w:t>
                  </w:r>
                </w:p>
                <w:p w:rsidR="002C373B" w:rsidRPr="00F226AF" w:rsidRDefault="002C373B" w:rsidP="00C055BA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                                                                   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             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055B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постројења или активности за које је дозвола издата</w:t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: </w:t>
                  </w:r>
                  <w:r w:rsidR="00C055BA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C055BA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Кудељарски насип Прва бр. 122д, Панчево, </w:t>
                  </w:r>
                  <w:r w:rsidR="00AF07A6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 </w:t>
                  </w:r>
                  <w:r w:rsidR="00AF07A6"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на к.п</w:t>
                  </w:r>
                  <w:r w:rsidR="00AF07A6"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 w:rsidR="00AF07A6"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бр. </w:t>
                  </w:r>
                  <w:r w:rsidR="00C055BA" w:rsidRPr="00244E31">
                    <w:rPr>
                      <w:rFonts w:asciiTheme="minorHAnsi" w:hAnsiTheme="minorHAnsi" w:cstheme="minorHAnsi"/>
                      <w:lang w:val="ru-RU"/>
                    </w:rPr>
                    <w:t>11416/22 КО Панчево</w:t>
                  </w:r>
                  <w:r w:rsidR="00C055BA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AF07A6" w:rsidRPr="00F226AF">
                    <w:rPr>
                      <w:rFonts w:asciiTheme="minorHAnsi" w:hAnsiTheme="minorHAnsi" w:cs="Times New Roman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1848D2"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с</w:t>
                  </w:r>
                  <w:r w:rsidR="001848D2" w:rsidRPr="00F226A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>кладиштење опасног отпада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6313B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140-501-</w:t>
                  </w:r>
                  <w:r w:rsidR="006313B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1009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/202</w:t>
                  </w:r>
                  <w:r w:rsidR="006313B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0-05 од 16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0</w:t>
                  </w:r>
                  <w:r w:rsidR="006313B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9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.202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71"/>
                    <w:gridCol w:w="927"/>
                    <w:gridCol w:w="175"/>
                    <w:gridCol w:w="927"/>
                    <w:gridCol w:w="4608"/>
                  </w:tblGrid>
                  <w:tr w:rsidR="00D22F27" w:rsidRPr="00F226AF">
                    <w:trPr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</w:p>
                      <w:p w:rsidR="00D22F27" w:rsidRPr="00F226AF" w:rsidRDefault="006313B1" w:rsidP="006313B1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16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.0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9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.202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</w:p>
                      <w:p w:rsidR="00D22F27" w:rsidRPr="00F226AF" w:rsidRDefault="006313B1" w:rsidP="006313B1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16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9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.203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</w:rPr>
                    <w:t>складиштење и термички третман неопасног и опасног отпада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E86442" w:rsidRPr="00F226AF" w:rsidRDefault="00D22F27" w:rsidP="00E86442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1848D2" w:rsidRPr="00F226AF" w:rsidRDefault="001848D2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постројењу:</w:t>
                  </w:r>
                </w:p>
                <w:p w:rsidR="006313B1" w:rsidRPr="006313B1" w:rsidRDefault="006313B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cstheme="minorHAnsi"/>
                      <w:b/>
                      <w:lang w:val="ru-RU"/>
                    </w:rPr>
                  </w:pP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eastAsia="Times New Roman"/>
                      <w:color w:val="000000"/>
                      <w:sz w:val="20"/>
                      <w:szCs w:val="20"/>
                      <w:lang w:eastAsia="sr-Latn-RS"/>
                    </w:rPr>
                    <w:t>16 02 12*</w:t>
                  </w:r>
                  <w:r w:rsidRPr="006313B1">
                    <w:rPr>
                      <w:rFonts w:eastAsia="Times New Roman"/>
                      <w:color w:val="000000"/>
                      <w:sz w:val="20"/>
                      <w:szCs w:val="20"/>
                      <w:lang w:val="sr-Cyrl-RS" w:eastAsia="sr-Latn-RS"/>
                    </w:rPr>
                    <w:t xml:space="preserve">   одбачена опрема која садржи слободни азбест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операције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16 02 13*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 xml:space="preserve">одбачена опрема која садржи опасне компоненте другачија од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             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оне наведене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у 16 02 09* до 16 02 12*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операције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16 02 15*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 xml:space="preserve">опасне компоненте уклоњене из одбачене опреме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операције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16 06 01*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оловне батерије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операција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20 01 33*   батерије и акумулатори укључени у 16 06 01, 16 06 02 или 16 06 03 и </w:t>
                  </w:r>
                </w:p>
                <w:p w:rsid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                  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несортиране батерије и акумулатори који садрже ове батерије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                  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(операција 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>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20 01 35*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 xml:space="preserve">одбачена електронска и електрична опрема која садржи опасне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               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ком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>п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оненте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операција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B36D6E" w:rsidRPr="00F226AF" w:rsidRDefault="00B36D6E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8459BE" w:rsidRPr="00F226AF" w:rsidRDefault="00D22F27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Локација, капацитет постројења и кратак опис:</w:t>
                  </w: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right="-42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Фирма METAL FORMA KOS D.O.O.. Панчево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ће вршити складиштење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опасног отпада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на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катастарској парцели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11416/22 КО Панчево.</w:t>
                  </w: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right="-425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Катастарска парцела 11416/22 се налази у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обухвату Плана генералне регулације – Целина 5 – Кудељерац и Новосељански пут иза Надела, у оквиру зоне пословања са компатибилним садржајима, у блоку 265. Удаљеност од центра града је око 5000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m.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right="-42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Укупна п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овршина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комплекса је 16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ari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и 47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Latn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B81783" w:rsidRPr="006313B1" w:rsidRDefault="00B81783" w:rsidP="000B6AAD">
                  <w:pPr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6313B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lastRenderedPageBreak/>
                    <w:t xml:space="preserve">Простор у коме се обавља пријем и привремено складиштење опасног отпада обавља се у халама P1 и P2. Површина хале P1 је око 290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док је објекат P2 површине око 131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. Привремено складиштење отпада од електричне и електронске опреме вршиће се унутар хале P1 и дела хале P2, на бетонској подлози. 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За потребе складиштења ЕЕ отпада у хали P1, користиће се око 200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а отпад ће се складиштити до висине од 2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 Укупна запремина простора у хали P1 која ће се користити за складиштење ЕЕ отпада износи 400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3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Привремено складиштење отпадних акумулатора ће се вршити у објекту P2, на укупној површини од око 16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 xml:space="preserve">2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у затвореним контејнерима од киселоотпорне пластике, запремине 1000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који ће бити постављени у објекту на бетонској подлози, заштићени од атмосферских утицаја. Отпадни акумулатори ће се складиштити до висине од 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те је у складу са тим, запремина хале P2 која ће се користити за потребе складиштења овог отпада 32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У хали P2 осим акумулатора, складиштиће се и опасан електрични и електронски отпад на укупној површини од око 50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а отпад ће се складиштити до висине од 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 Укупна запремина простора у хали P2 која ће се користити за складиштење ЕЕ отпада износи 100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. 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У истој хали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(P2) врши се складиштење неопасног опасног отпада на укупној површини од око 40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. За ову операцију оператеру је издата дозвола од стране надлежног органа (бр.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XV-23-501-117/2019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од 27.06.2019). Неопасан отпад није предмет овог захтева.</w:t>
                  </w:r>
                </w:p>
                <w:p w:rsidR="006313B1" w:rsidRPr="008163D6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cstheme="minorHAnsi"/>
                      <w:lang w:val="sr-Cyrl-RS"/>
                    </w:rPr>
                  </w:pPr>
                </w:p>
                <w:p w:rsidR="00B36D6E" w:rsidRPr="006313B1" w:rsidRDefault="00B81783" w:rsidP="00B36D6E">
                  <w:pPr>
                    <w:tabs>
                      <w:tab w:val="right" w:pos="9214"/>
                    </w:tabs>
                    <w:ind w:left="-142" w:right="-425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-  </w:t>
                  </w:r>
                  <w:r w:rsidR="00B36D6E" w:rsidRPr="006313B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2.1. Складиштење отпада</w:t>
                  </w:r>
                </w:p>
                <w:p w:rsidR="00B36D6E" w:rsidRPr="006313B1" w:rsidRDefault="00B36D6E" w:rsidP="00B36D6E">
                  <w:pPr>
                    <w:tabs>
                      <w:tab w:val="right" w:pos="9214"/>
                    </w:tabs>
                    <w:ind w:left="-142" w:right="-425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left="709" w:right="-425" w:hanging="709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2.1.1.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-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Мак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с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имални пројектовани капацитет складишта, односно укупна количина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опасног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 oтпада који може да се складишти у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једном тренутку је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 9,5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t.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(8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отпада од електричне и електронске опреме и </w:t>
                  </w:r>
                  <w:r w:rsidRPr="006313B1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sr-Cyrl-RS" w:eastAsia="sr-Latn-RS"/>
                    </w:rPr>
                    <w:t xml:space="preserve">1,5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отпадних акумулатора)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 </w:t>
                  </w:r>
                  <w:r w:rsidRPr="006313B1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sr-Cyrl-RS" w:eastAsia="sr-Latn-RS"/>
                    </w:rPr>
                    <w:t xml:space="preserve">  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810" w:right="-425"/>
                    <w:jc w:val="both"/>
                    <w:rPr>
                      <w:rFonts w:eastAsia="Cambria" w:cstheme="minorHAnsi"/>
                      <w:sz w:val="18"/>
                      <w:szCs w:val="18"/>
                    </w:rPr>
                  </w:pPr>
                </w:p>
                <w:p w:rsidR="006313B1" w:rsidRPr="006313B1" w:rsidRDefault="006313B1" w:rsidP="006313B1">
                  <w:pPr>
                    <w:tabs>
                      <w:tab w:val="right" w:pos="9072"/>
                    </w:tabs>
                    <w:ind w:left="709" w:right="-425" w:hanging="709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2.1.2.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Планирани капацитет складишта на годишњем нивоу, односно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укупна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количина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опасног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отпада која ће се складиштити за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 xml:space="preserve">годину дана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је </w:t>
                  </w:r>
                  <w:r w:rsidRPr="006313B1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2.907 </w:t>
                  </w:r>
                  <w:r w:rsidRPr="006313B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опасног отпада (2,448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отпада од електричне и електронске опреме и </w:t>
                  </w:r>
                  <w:r w:rsidRPr="006313B1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sr-Cyrl-RS" w:eastAsia="sr-Latn-RS"/>
                    </w:rPr>
                    <w:t xml:space="preserve">459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отпадних акумулатора) </w:t>
                  </w:r>
                </w:p>
                <w:p w:rsidR="00B81783" w:rsidRPr="00F226AF" w:rsidRDefault="00B81783" w:rsidP="00C234F9">
                  <w:pPr>
                    <w:pStyle w:val="NoSpacing"/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Опрему за складиштење чине:  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Екоконтејнери запремине 1.000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l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(10 ком. за складиштење акумулатора)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Опрема и уређаји за мерење отпада: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Колска вага капацитета 60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Дигитална вага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LEKIĆ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тип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VLNP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– 15, произведена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: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2012. године, носивост: 1,5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Дигитална вага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Birotehna,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Смедерево, произведена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: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2017. године, носивост: 1,5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Дигитална вага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LEKIĆ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тип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VLNP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– 60, произведена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: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2012. године, носивост: 1,5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Возила за унутрашњи треанспорт:</w:t>
                  </w:r>
                </w:p>
                <w:p w:rsidR="00977F5E" w:rsidRPr="00977F5E" w:rsidRDefault="00977F5E" w:rsidP="00977F5E">
                  <w:pPr>
                    <w:pStyle w:val="NoSpacing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ind w:left="426" w:right="-425" w:hanging="426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Виљушкар марке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Linda.</w:t>
                  </w:r>
                </w:p>
                <w:p w:rsidR="000B6AAD" w:rsidRPr="00977F5E" w:rsidRDefault="00D22F27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977F5E">
                    <w:rPr>
                      <w:rFonts w:asciiTheme="minorHAnsi" w:hAnsiTheme="minorHAnsi"/>
                      <w:sz w:val="18"/>
                      <w:szCs w:val="18"/>
                    </w:rPr>
                    <w:t>Начин управљања отпадом:</w:t>
                  </w:r>
                  <w:r w:rsidR="00A83216" w:rsidRPr="00977F5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Пријем, контрола отпада, складиштење, неопасног и опасног отпада, предавање отпада, овлашћеним оператерима. </w:t>
                  </w:r>
                  <w:r w:rsidRPr="00977F5E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Превозно средство:</w:t>
                  </w:r>
                  <w:r w:rsidR="000B6AAD" w:rsidRPr="00977F5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/</w:t>
                  </w:r>
                  <w:r w:rsidRPr="00977F5E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Мере заштите животне средине и контрола загађивања:</w:t>
                  </w:r>
                </w:p>
                <w:p w:rsidR="000B6AAD" w:rsidRPr="00F226AF" w:rsidRDefault="000B6AAD" w:rsidP="000B6AAD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F226AF" w:rsidRPr="00F226AF" w:rsidRDefault="00F226AF" w:rsidP="00F226AF">
                  <w:pPr>
                    <w:tabs>
                      <w:tab w:val="right" w:pos="9214"/>
                    </w:tabs>
                    <w:ind w:left="67" w:right="17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Обавезује се оператер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Кудељарски насип Прва бр. 122д, Панчево,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да у току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складиштења опасног отпада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на локацији, обезбеди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D22F27" w:rsidRPr="00F226AF" w:rsidRDefault="00D22F27" w:rsidP="00F226AF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Спречавање удеса и одговор на удес: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E86442" w:rsidRPr="00F226AF" w:rsidRDefault="00E86442" w:rsidP="00E86442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Кудељарски насип Прва бр. 122д, Панчево</w:t>
                  </w:r>
                  <w:r w:rsid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се придржава прописане динамике извештавања према надлежним органима и институцијама у складу са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и 95/18-др. закон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E86442" w:rsidRPr="00F226AF" w:rsidRDefault="00E86442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Кудељарски насип Прва бр. 122д, Панчево,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попуњава Документ о кретању опасног отпада у складу са Правилником о обрасцу Документа о кретању опасног отпада и упутству за његово попуњавање (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бр.17/17) и исти </w:t>
                  </w:r>
                  <w:r w:rsidRPr="00F226A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трајно</w:t>
                  </w:r>
                  <w:r w:rsidR="00977F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E86442" w:rsidRPr="00F226AF" w:rsidRDefault="00E86442" w:rsidP="00600191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03D2" w:rsidRDefault="00D22F27">
                  <w:pPr>
                    <w:pStyle w:val="Normal1"/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Promene: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E303D2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a) izmena dozvole</w:t>
                  </w:r>
                </w:p>
                <w:p w:rsidR="00663691" w:rsidRPr="00663691" w:rsidRDefault="00663691" w:rsidP="00663691">
                  <w:pPr>
                    <w:pStyle w:val="Normal1"/>
                    <w:spacing w:after="0" w:afterAutospacing="0"/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</w:pPr>
                  <w:r w:rsidRPr="00663691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БРОЈ: 140-501-1009/2020-05  од 22.9.2021</w:t>
                  </w:r>
                </w:p>
                <w:p w:rsidR="00663691" w:rsidRDefault="00663691" w:rsidP="00663691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>У Тачки 2) Подаци о капацитету посторојења, односно о количинама отпада</w:t>
                  </w:r>
                </w:p>
                <w:p w:rsidR="00663691" w:rsidRPr="00663691" w:rsidRDefault="00663691" w:rsidP="00663691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>Подтачка 2.1. Складиштење отпада/2.1.1. став 1 други ред, уместо речи: „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9,5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 (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8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 отпада од електричне и електронске опреме и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1,5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  отпадних акумулатора)“, уписују се речи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280 t (250 t отпада од електричне и електронске опреме и 30 t  отпадних акумулатора)</w:t>
                  </w:r>
                </w:p>
                <w:p w:rsidR="00C66DFE" w:rsidRDefault="00C66DFE" w:rsidP="00663691">
                  <w:pP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663691" w:rsidRDefault="00663691" w:rsidP="00663691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663691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>БРОЈ:140-501-1009/2020-05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 xml:space="preserve"> od 17.3.2023</w:t>
                  </w:r>
                </w:p>
                <w:p w:rsidR="00E303D2" w:rsidRPr="00F226AF" w:rsidRDefault="00E303D2" w:rsidP="0066369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постројењу:</w:t>
                  </w:r>
                </w:p>
                <w:p w:rsidR="00E303D2" w:rsidRPr="00E303D2" w:rsidRDefault="00E303D2" w:rsidP="00E303D2">
                  <w:pPr>
                    <w:pStyle w:val="Normal1"/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Cyrl-CS"/>
                    </w:rPr>
                  </w:pPr>
                  <w:r w:rsidRPr="00E303D2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Cyrl-CS"/>
                    </w:rPr>
                    <w:t>Додају се индексни бројеви:</w:t>
                  </w:r>
                </w:p>
                <w:tbl>
                  <w:tblPr>
                    <w:tblW w:w="8308" w:type="dxa"/>
                    <w:tblInd w:w="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52"/>
                    <w:gridCol w:w="7256"/>
                  </w:tblGrid>
                  <w:tr w:rsidR="00E303D2" w:rsidRPr="00E303D2" w:rsidTr="00E303D2">
                    <w:trPr>
                      <w:trHeight w:val="188"/>
                    </w:trPr>
                    <w:tc>
                      <w:tcPr>
                        <w:tcW w:w="1052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16 01 04*</w:t>
                        </w:r>
                      </w:p>
                    </w:tc>
                    <w:tc>
                      <w:tcPr>
                        <w:tcW w:w="7256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 xml:space="preserve">Отпадна возила (операције 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R13)</w:t>
                        </w:r>
                      </w:p>
                    </w:tc>
                  </w:tr>
                  <w:tr w:rsidR="00E303D2" w:rsidRPr="00E303D2" w:rsidTr="00E303D2">
                    <w:trPr>
                      <w:trHeight w:val="391"/>
                    </w:trPr>
                    <w:tc>
                      <w:tcPr>
                        <w:tcW w:w="1052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16 01 21*</w:t>
                        </w:r>
                      </w:p>
                    </w:tc>
                    <w:tc>
                      <w:tcPr>
                        <w:tcW w:w="7256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Опасне компоненте другачије од оних наведених у 16 01 07 до 16 01 11 и 16 01 1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3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 xml:space="preserve"> и 16 01 14 (операције 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R13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  <w:t>)</w:t>
                        </w:r>
                      </w:p>
                    </w:tc>
                  </w:tr>
                  <w:tr w:rsidR="00E303D2" w:rsidRPr="00E303D2" w:rsidTr="00E303D2">
                    <w:trPr>
                      <w:trHeight w:val="188"/>
                    </w:trPr>
                    <w:tc>
                      <w:tcPr>
                        <w:tcW w:w="1052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17 04 10*</w:t>
                        </w:r>
                      </w:p>
                    </w:tc>
                    <w:tc>
                      <w:tcPr>
                        <w:tcW w:w="7256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 xml:space="preserve">Каблови који садрже уље, катран од угља и друге опасне супстанце (операције 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R13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  <w:t>)</w:t>
                        </w:r>
                      </w:p>
                    </w:tc>
                  </w:tr>
                </w:tbl>
                <w:p w:rsidR="00E303D2" w:rsidRDefault="00E303D2" w:rsidP="00E303D2">
                  <w:pPr>
                    <w:pStyle w:val="BodyText"/>
                    <w:tabs>
                      <w:tab w:val="right" w:pos="9072"/>
                    </w:tabs>
                    <w:ind w:left="709" w:right="-425" w:hanging="70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E303D2" w:rsidRDefault="00E303D2" w:rsidP="00E303D2">
                  <w:pPr>
                    <w:pStyle w:val="BodyText"/>
                    <w:tabs>
                      <w:tab w:val="right" w:pos="9072"/>
                    </w:tabs>
                    <w:ind w:left="709" w:right="-425" w:hanging="70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У Тачки 2) Подаци о капацитету посторојења, односно о количинама отпада </w:t>
                  </w:r>
                  <w:r w:rsidR="00663691"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>(Решење о исправци грешке број 140-501-1009/2020-05 од 22.09.2021. године)</w:t>
                  </w:r>
                </w:p>
                <w:p w:rsidR="00E303D2" w:rsidRDefault="00E303D2" w:rsidP="00663691">
                  <w:pPr>
                    <w:pStyle w:val="BodyText"/>
                    <w:tabs>
                      <w:tab w:val="right" w:pos="9072"/>
                    </w:tabs>
                    <w:ind w:left="709" w:right="60" w:hanging="70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>Подтачка 2.1. Складиштење отпада/2.1.1. став 1 други ред, уместо речи: „280 t (250 t отпада од електричне и електронске опреме и 30 t  отпадних акумулатора)“, уписују се речи: „280 t отпада (223 t електронског и електричног отпада, 30 t батерија и акумулатора, 20 t отпадних возила, 5t отпадних компонената из возила и 2 t отпадних каблова)“.</w:t>
                  </w:r>
                </w:p>
                <w:p w:rsidR="00E303D2" w:rsidRPr="006313B1" w:rsidRDefault="00E303D2" w:rsidP="00663691">
                  <w:pPr>
                    <w:pStyle w:val="BodyText"/>
                    <w:tabs>
                      <w:tab w:val="right" w:pos="9072"/>
                    </w:tabs>
                    <w:ind w:left="709" w:right="150" w:hanging="709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Подтачка 2.1./2.1.2. став 1 други ред, уместо речи: „2.907 t опасног отпада (2.448 t отпада од електричне и електронске опреме и 459 t отпадних акумулатора“, уписују се речи: „2.907 t опасног отпада (1.984 t отпада од елекричне и електронске опреме, 374 t отпадних акумулатора, 402 t отпадних возила, 100 t опасних компонената из возила и 47 t отпадних каблова који садрже уље, катран од угља и друге опасне супстанце)“.      </w:t>
                  </w:r>
                </w:p>
                <w:p w:rsidR="00C66DFE" w:rsidRDefault="00C66DFE" w:rsidP="00C66DFE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663691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>БРОЈ:140-501-1009/2020-05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 xml:space="preserve"> od 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sr-Cyrl-RS"/>
                    </w:rPr>
                    <w:t>03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>.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sr-Cyrl-RS"/>
                    </w:rPr>
                    <w:t>04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>.2023</w:t>
                  </w:r>
                </w:p>
                <w:p w:rsidR="00C66DFE" w:rsidRPr="00F226AF" w:rsidRDefault="00C66DFE" w:rsidP="00C66DFE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постројењу:</w:t>
                  </w:r>
                </w:p>
                <w:p w:rsidR="00C66DFE" w:rsidRPr="00E303D2" w:rsidRDefault="00C66DFE" w:rsidP="00C66DFE">
                  <w:pPr>
                    <w:pStyle w:val="Normal1"/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Cyrl-CS"/>
                    </w:rPr>
                  </w:pPr>
                  <w:r w:rsidRPr="00E303D2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Cyrl-CS"/>
                    </w:rPr>
                    <w:t>Додају се индексни бројеви:</w:t>
                  </w:r>
                </w:p>
                <w:tbl>
                  <w:tblPr>
                    <w:tblW w:w="7977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39"/>
                    <w:gridCol w:w="6838"/>
                  </w:tblGrid>
                  <w:tr w:rsidR="00C66DFE" w:rsidRPr="00C66DFE" w:rsidTr="00C66DFE">
                    <w:trPr>
                      <w:trHeight w:val="250"/>
                    </w:trPr>
                    <w:tc>
                      <w:tcPr>
                        <w:tcW w:w="1139" w:type="dxa"/>
                        <w:shd w:val="clear" w:color="auto" w:fill="auto"/>
                      </w:tcPr>
                      <w:p w:rsidR="00C66DFE" w:rsidRPr="00C66DFE" w:rsidRDefault="00C66DFE" w:rsidP="00C66DFE">
                        <w:pPr>
                          <w:pStyle w:val="Normal10"/>
                          <w:rPr>
                            <w:rFonts w:asciiTheme="minorHAnsi" w:hAnsiTheme="minorHAnsi" w:cs="Arial"/>
                            <w:b/>
                            <w:sz w:val="18"/>
                            <w:szCs w:val="18"/>
                            <w:u w:val="single"/>
                            <w:lang w:val="sr-Cyrl-CS" w:eastAsia="en-US"/>
                          </w:rPr>
                        </w:pPr>
                        <w:r w:rsidRPr="00C66DFE">
                          <w:rPr>
                            <w:rFonts w:asciiTheme="minorHAnsi" w:hAnsiTheme="minorHAnsi" w:cs="Arial"/>
                            <w:b/>
                            <w:sz w:val="18"/>
                            <w:szCs w:val="18"/>
                            <w:u w:val="single"/>
                            <w:lang w:val="sr-Cyrl-CS" w:eastAsia="en-US"/>
                          </w:rPr>
                          <w:t>20 01 21*</w:t>
                        </w:r>
                      </w:p>
                    </w:tc>
                    <w:tc>
                      <w:tcPr>
                        <w:tcW w:w="6838" w:type="dxa"/>
                        <w:shd w:val="clear" w:color="auto" w:fill="auto"/>
                      </w:tcPr>
                      <w:p w:rsidR="00C66DFE" w:rsidRPr="00C66DFE" w:rsidRDefault="00C66DFE" w:rsidP="00C66DFE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cs="Calibr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C66DFE">
                          <w:rPr>
                            <w:rFonts w:cs="Calibri"/>
                            <w:b/>
                            <w:sz w:val="18"/>
                            <w:szCs w:val="18"/>
                          </w:rPr>
                          <w:t xml:space="preserve">Флуоресцентне цеви и други отпад који садржи живу (операције </w:t>
                        </w:r>
                        <w:r w:rsidRPr="00C66DFE">
                          <w:rPr>
                            <w:rFonts w:cs="Calibri"/>
                            <w:b/>
                            <w:sz w:val="18"/>
                            <w:szCs w:val="18"/>
                            <w:lang w:val="sr-Latn-RS"/>
                          </w:rPr>
                          <w:t>R13)</w:t>
                        </w:r>
                      </w:p>
                    </w:tc>
                  </w:tr>
                </w:tbl>
                <w:p w:rsidR="00C66DFE" w:rsidRPr="00C66DFE" w:rsidRDefault="00C66DFE" w:rsidP="00C66DFE">
                  <w:pPr>
                    <w:ind w:left="630" w:right="-141" w:hanging="630"/>
                    <w:jc w:val="both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У Тачки 2) Подаци о капацитету посторојења, односно о количинама отпада</w:t>
                  </w: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(</w:t>
                  </w: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Решење о измени и допуни решења о издавању дозволе за складиштење опасног отпада на локацији оператера, број: 140-501-1009/2020-05 од 17.03.2023. године</w:t>
                  </w: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)</w:t>
                  </w:r>
                </w:p>
                <w:p w:rsidR="00C66DFE" w:rsidRPr="00C66DFE" w:rsidRDefault="00C66DFE" w:rsidP="00C66DFE">
                  <w:pPr>
                    <w:ind w:left="630" w:right="-141" w:hanging="63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</w:pP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Подтачка 2.1. Складиштење отпада/2.1.1. став 1 други ред, уместо речи: 280 t отпада (223 t електронског и електричног отпада, 30 t батерија и акумулатора, 20 t отпадних возила, 5 t отпадних компонената из возила и 2 t отпадних каблова)“, уписују се речи: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„280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>t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 опасног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отпада (221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електронског и електричног отпада индексних бројева 16 02 12*, 16 02 13*, 16 02 15*, 20 01 35*; 30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батерија и акумулатора индексних бројева 16 06 01* и 20 01 33*; 2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t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 флуоресцентних цеви и другог отпада који садржи живу индексног броја 20 01 21*;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15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отпадних возила индексног броја 16 01 04*; 10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отпада индексног броја 16 01 21* - опасне компоненте другачије од оних наведених у 16 01 07 до 16 01 11 и 16 01 13 и 16 01 14 и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2 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отпадних каблова који садрже уље, катран од угља и друге опасне супстанце индексног броја 17 04 10*)“.</w:t>
                  </w:r>
                </w:p>
                <w:p w:rsidR="00C66DFE" w:rsidRDefault="00C66DFE" w:rsidP="00C66DFE">
                  <w:pPr>
                    <w:ind w:right="60"/>
                    <w:jc w:val="both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</w:p>
                <w:p w:rsidR="00C66DFE" w:rsidRPr="00C66DFE" w:rsidRDefault="00C66DFE" w:rsidP="00C66DFE">
                  <w:pPr>
                    <w:ind w:left="630" w:right="60" w:hanging="63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</w:pPr>
                  <w:r w:rsidRPr="00C66DF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Подтачка 2.1./2.1.2. став 1 други ред, уместо речи: „2.907 t опасног отпада (1.984 t отпада од елекричне и електронске опреме, 374 t отпадних акумулатора, 402 t отпадних возила, 100 t опасних компонената из возила и 47 t отпадних каблова који садрже уље, катран од угља и друге опасне супстанце)“, уписују се речи: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„2.907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опасног отпада (1.937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отпада од електричне и електронске опреме индексних бројева 16 02 12*, 16 02 13*, 16 02 15*, 20 01 35*, 47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флуоресцентних цеви и другог отпада који садржи живу индексног броја 20 01 21*, 374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батерија и акумулатора индексних бројева 16 06 01* и 20 01 33*, 402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отпадних возила индексног броја 16 01 04*, 100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>t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 отпада индексног броја 16 01 21* - опасне компоненте другачије од оних наведених у 16 01 07 до 16 01 11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lastRenderedPageBreak/>
                    <w:t>и 16 01 13 и 16 01 14 и 47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t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отпадних каблова који садрже уље, катран од угља и друге опасне супстанце индексног броја 17 04 10*)“.  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C66DFE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 xml:space="preserve">  </w:t>
                  </w: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E303D2">
                    <w:rPr>
                      <w:rFonts w:asciiTheme="minorHAnsi" w:hAnsiTheme="minorHAnsi"/>
                      <w:sz w:val="18"/>
                      <w:szCs w:val="18"/>
                      <w:u w:val="single"/>
                    </w:rPr>
                    <w:br/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b) oduzimanje dozvole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lastRenderedPageBreak/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Napomene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>Ime i prezime ovlašćenog lica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E86442" w:rsidRPr="00F226AF" w:rsidRDefault="00D22F27" w:rsidP="00E86442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366D0" w:rsidRPr="00F226AF" w:rsidRDefault="002366D0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A9" w:rsidRDefault="00FB78A9">
      <w:r>
        <w:separator/>
      </w:r>
    </w:p>
  </w:endnote>
  <w:endnote w:type="continuationSeparator" w:id="0">
    <w:p w:rsidR="00FB78A9" w:rsidRDefault="00FB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C DzCom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A9" w:rsidRDefault="00FB78A9">
      <w:r>
        <w:separator/>
      </w:r>
    </w:p>
  </w:footnote>
  <w:footnote w:type="continuationSeparator" w:id="0">
    <w:p w:rsidR="00FB78A9" w:rsidRDefault="00FB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63A"/>
    <w:multiLevelType w:val="hybridMultilevel"/>
    <w:tmpl w:val="269A47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3084748"/>
    <w:multiLevelType w:val="hybridMultilevel"/>
    <w:tmpl w:val="8E26EB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2A0F"/>
    <w:multiLevelType w:val="hybridMultilevel"/>
    <w:tmpl w:val="8BD04020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0455139"/>
    <w:multiLevelType w:val="hybridMultilevel"/>
    <w:tmpl w:val="70587872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21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22"/>
  </w:num>
  <w:num w:numId="22">
    <w:abstractNumId w:val="18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B6AAD"/>
    <w:rsid w:val="001848D2"/>
    <w:rsid w:val="001A7E73"/>
    <w:rsid w:val="00211FB2"/>
    <w:rsid w:val="0023004D"/>
    <w:rsid w:val="002366D0"/>
    <w:rsid w:val="002C373B"/>
    <w:rsid w:val="00450DC3"/>
    <w:rsid w:val="004C6591"/>
    <w:rsid w:val="00600191"/>
    <w:rsid w:val="00622853"/>
    <w:rsid w:val="006313B1"/>
    <w:rsid w:val="00663691"/>
    <w:rsid w:val="00746B02"/>
    <w:rsid w:val="00777FEF"/>
    <w:rsid w:val="008459BE"/>
    <w:rsid w:val="00857392"/>
    <w:rsid w:val="00977F5E"/>
    <w:rsid w:val="00A83216"/>
    <w:rsid w:val="00AC15DC"/>
    <w:rsid w:val="00AE5A88"/>
    <w:rsid w:val="00AF07A6"/>
    <w:rsid w:val="00B36D6E"/>
    <w:rsid w:val="00B50B21"/>
    <w:rsid w:val="00B81783"/>
    <w:rsid w:val="00C055BA"/>
    <w:rsid w:val="00C11276"/>
    <w:rsid w:val="00C234F9"/>
    <w:rsid w:val="00C61482"/>
    <w:rsid w:val="00C66DFE"/>
    <w:rsid w:val="00C831B6"/>
    <w:rsid w:val="00D22F27"/>
    <w:rsid w:val="00E303D2"/>
    <w:rsid w:val="00E86442"/>
    <w:rsid w:val="00ED5304"/>
    <w:rsid w:val="00F16A84"/>
    <w:rsid w:val="00F226AF"/>
    <w:rsid w:val="00F733D4"/>
    <w:rsid w:val="00F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46A91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3</cp:revision>
  <cp:lastPrinted>2021-01-04T09:18:00Z</cp:lastPrinted>
  <dcterms:created xsi:type="dcterms:W3CDTF">2023-03-21T08:31:00Z</dcterms:created>
  <dcterms:modified xsi:type="dcterms:W3CDTF">2023-04-03T12:18:00Z</dcterms:modified>
</cp:coreProperties>
</file>