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31D58" w14:textId="77777777" w:rsidR="0020147F" w:rsidRDefault="00F3024E" w:rsidP="00F3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2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2DC9932F" w14:textId="77777777" w:rsidR="00F3024E" w:rsidRPr="00F3024E" w:rsidRDefault="00F3024E" w:rsidP="00F3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920403A" w14:textId="77777777" w:rsidR="00446E71" w:rsidRPr="002F4BB0" w:rsidRDefault="00446E71" w:rsidP="00F3024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ЗАШТИТА ВАЗДУХА КОД </w:t>
      </w:r>
      <w:r w:rsidR="00EC4C7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ТЕХНОЛОШКИХ ПОСТРОЈЕЊА</w:t>
      </w:r>
      <w:r w:rsidR="009A3F6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СА</w:t>
      </w:r>
      <w:r w:rsidRPr="002F4BB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40257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КОНТИНУАЛН</w:t>
      </w:r>
      <w:r w:rsidR="009A3F6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ИМ МЕРЕЊЕМ</w:t>
      </w:r>
    </w:p>
    <w:p w14:paraId="554CB5DA" w14:textId="77777777" w:rsidR="005367FA" w:rsidRPr="005367FA" w:rsidRDefault="005367FA" w:rsidP="00F3024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5367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из Закона о заштити ваздуха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5367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постројења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која не спадају у постројења за сагоревање а на којима се врши </w:t>
      </w:r>
      <w:r w:rsidRPr="005367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континуа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</w:t>
      </w:r>
      <w:r w:rsidRPr="005367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но мерење емисије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702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дозвол</w:t>
      </w:r>
      <w:r w:rsidR="008702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министарства</w:t>
      </w:r>
    </w:p>
    <w:p w14:paraId="7AE962A7" w14:textId="77777777" w:rsidR="00446E71" w:rsidRPr="002F4BB0" w:rsidRDefault="00446E71" w:rsidP="00F30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</w:p>
    <w:p w14:paraId="667AA789" w14:textId="77777777" w:rsidR="00045F7B" w:rsidRPr="001A78E6" w:rsidRDefault="00045F7B" w:rsidP="00F302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5202"/>
        <w:gridCol w:w="5508"/>
      </w:tblGrid>
      <w:tr w:rsidR="00446E71" w:rsidRPr="002F4BB0" w14:paraId="0CBD4F3C" w14:textId="77777777" w:rsidTr="00FA315F">
        <w:trPr>
          <w:jc w:val="center"/>
        </w:trPr>
        <w:tc>
          <w:tcPr>
            <w:tcW w:w="10710" w:type="dxa"/>
            <w:gridSpan w:val="2"/>
          </w:tcPr>
          <w:p w14:paraId="0A7A312D" w14:textId="77777777" w:rsidR="00446E71" w:rsidRPr="002F4BB0" w:rsidRDefault="00446E71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Подаци о опер</w:t>
            </w: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>a</w:t>
            </w: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теру</w:t>
            </w:r>
          </w:p>
        </w:tc>
      </w:tr>
      <w:tr w:rsidR="00446E71" w:rsidRPr="002F4BB0" w14:paraId="6D25EA20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A00" w14:textId="77777777" w:rsidR="00446E71" w:rsidRPr="002F4BB0" w:rsidRDefault="00446E71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3D98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3FBEBC6B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BC5" w14:textId="77777777" w:rsidR="00446E71" w:rsidRPr="002F4BB0" w:rsidRDefault="00446E71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CC69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4F01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4A6DE48E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3A9" w14:textId="77777777" w:rsidR="00446E71" w:rsidRPr="002F4BB0" w:rsidRDefault="00CC69D5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D8540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04091B67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0289" w14:textId="77777777" w:rsidR="00446E71" w:rsidRPr="002F4BB0" w:rsidRDefault="00446E71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  <w:r w:rsidR="00CC69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31A3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4C643D1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215" w14:textId="77777777" w:rsidR="00446E71" w:rsidRPr="002F4BB0" w:rsidRDefault="00446E71" w:rsidP="00F3024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A2B27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F3024E" w14:paraId="258AFCC5" w14:textId="77777777" w:rsidTr="00FA315F">
        <w:trPr>
          <w:jc w:val="center"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228" w14:textId="77777777" w:rsidR="00446E71" w:rsidRPr="002F4BB0" w:rsidRDefault="00446E71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</w:t>
            </w:r>
            <w:r w:rsidR="00CC69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контакт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особе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DD4D7" w14:textId="77777777" w:rsidR="00446E71" w:rsidRPr="009264F5" w:rsidRDefault="00446E71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45F7B" w:rsidRPr="002F4BB0" w14:paraId="55567532" w14:textId="77777777" w:rsidTr="00F22EA8">
        <w:trPr>
          <w:jc w:val="center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E20A" w14:textId="77777777" w:rsidR="00045F7B" w:rsidRPr="002F4BB0" w:rsidRDefault="00045F7B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 / ознака димњака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769E" w14:textId="77777777" w:rsidR="00045F7B" w:rsidRPr="009264F5" w:rsidRDefault="00045F7B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45F7B" w:rsidRPr="002F4BB0" w14:paraId="0BBA9922" w14:textId="77777777" w:rsidTr="00F22EA8">
        <w:trPr>
          <w:jc w:val="center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AEB48" w14:textId="77777777" w:rsidR="00045F7B" w:rsidRPr="002F4BB0" w:rsidRDefault="00045F7B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12D7B" w14:textId="77777777" w:rsidR="00045F7B" w:rsidRPr="009264F5" w:rsidRDefault="00045F7B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09171D7" w14:textId="77777777" w:rsidR="00446E71" w:rsidRPr="007B08C7" w:rsidRDefault="00446E71" w:rsidP="00F30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C8F955" w14:textId="77777777" w:rsidR="00045F7B" w:rsidRPr="002F4BB0" w:rsidRDefault="00045F7B" w:rsidP="00F302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8370"/>
        <w:gridCol w:w="2340"/>
      </w:tblGrid>
      <w:tr w:rsidR="00446E71" w:rsidRPr="002F4BB0" w14:paraId="6810DDC4" w14:textId="77777777" w:rsidTr="00FA315F">
        <w:trPr>
          <w:jc w:val="center"/>
        </w:trPr>
        <w:tc>
          <w:tcPr>
            <w:tcW w:w="10710" w:type="dxa"/>
            <w:gridSpan w:val="2"/>
          </w:tcPr>
          <w:p w14:paraId="5711FC82" w14:textId="77777777" w:rsidR="00446E71" w:rsidRPr="002F4BB0" w:rsidRDefault="00446E71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7B5071" w:rsidRPr="002F4BB0" w14:paraId="7FA4E056" w14:textId="77777777" w:rsidTr="00E4574C">
        <w:trPr>
          <w:jc w:val="center"/>
        </w:trPr>
        <w:tc>
          <w:tcPr>
            <w:tcW w:w="8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8A089" w14:textId="77777777" w:rsidR="007B5071" w:rsidRPr="00F428C0" w:rsidRDefault="007B5071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39D08" w14:textId="77777777" w:rsidR="007B5071" w:rsidRDefault="007B5071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F302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74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A3C2003" w14:textId="77777777" w:rsidR="007B5071" w:rsidRPr="002F4BB0" w:rsidRDefault="007B5071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463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6E71" w:rsidRPr="002F4BB0" w14:paraId="5E9ACC42" w14:textId="77777777" w:rsidTr="00FA315F">
        <w:trPr>
          <w:jc w:val="center"/>
        </w:trPr>
        <w:tc>
          <w:tcPr>
            <w:tcW w:w="10710" w:type="dxa"/>
            <w:gridSpan w:val="2"/>
            <w:shd w:val="clear" w:color="auto" w:fill="auto"/>
          </w:tcPr>
          <w:p w14:paraId="733F4DDB" w14:textId="77777777" w:rsidR="00446E71" w:rsidRPr="002F4BB0" w:rsidRDefault="00CC69D5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12EE3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212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12EE3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212EE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212EE3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212EE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212EE3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212EE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212EE3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212EE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212EE3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39AE9FF" w14:textId="77777777" w:rsidR="00446E71" w:rsidRDefault="00446E71" w:rsidP="00F302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90FDCAA" w14:textId="77777777" w:rsidR="00045F7B" w:rsidRPr="00045F7B" w:rsidRDefault="00045F7B" w:rsidP="00F302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**</w:t>
      </w:r>
    </w:p>
    <w:tbl>
      <w:tblPr>
        <w:tblStyle w:val="TableGrid"/>
        <w:tblW w:w="10800" w:type="dxa"/>
        <w:tblInd w:w="-719" w:type="dxa"/>
        <w:tblLook w:val="04A0" w:firstRow="1" w:lastRow="0" w:firstColumn="1" w:lastColumn="0" w:noHBand="0" w:noVBand="1"/>
      </w:tblPr>
      <w:tblGrid>
        <w:gridCol w:w="517"/>
        <w:gridCol w:w="7823"/>
        <w:gridCol w:w="2460"/>
      </w:tblGrid>
      <w:tr w:rsidR="008147BB" w:rsidRPr="00171EFE" w14:paraId="2E0B3039" w14:textId="77777777" w:rsidTr="00F3024E">
        <w:trPr>
          <w:cantSplit/>
        </w:trPr>
        <w:tc>
          <w:tcPr>
            <w:tcW w:w="10800" w:type="dxa"/>
            <w:gridSpan w:val="3"/>
          </w:tcPr>
          <w:p w14:paraId="10913782" w14:textId="77777777" w:rsidR="008147BB" w:rsidRDefault="000158AC" w:rsidP="00F30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8147BB" w:rsidRPr="000548A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 Континуално мерење емисије (испуштања)</w:t>
            </w:r>
          </w:p>
        </w:tc>
      </w:tr>
      <w:tr w:rsidR="00875E2F" w14:paraId="430CE97B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C4CF" w14:textId="77777777" w:rsidR="008147BB" w:rsidRPr="000548AD" w:rsidRDefault="000158AC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8147BB"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9C2BB0" w14:textId="77777777" w:rsidR="00A271F0" w:rsidRPr="00212EE3" w:rsidRDefault="00A271F0" w:rsidP="00F302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212EE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прибављена сагласност министарства за континуална мерења емисије</w:t>
            </w:r>
            <w:r w:rsidR="000605A6" w:rsidRPr="00212EE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212EE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све загађујуће материје </w:t>
            </w:r>
            <w:r w:rsidRPr="00212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 прописано</w:t>
            </w:r>
            <w:r w:rsidRPr="00212EE3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6344EDC1" w14:textId="77777777" w:rsidR="00C00C4F" w:rsidRPr="00FA315F" w:rsidRDefault="00C00C4F" w:rsidP="003713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575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(Обавеза постоји када су прекорачени прописани масени протоци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)</w:t>
            </w:r>
            <w:r w:rsidRPr="0055575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</w:t>
            </w:r>
            <w:r w:rsidR="00EE0792" w:rsidRPr="00EE079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Изузеци од извршења обавезе </w:t>
            </w:r>
            <w:r w:rsidR="00EE0792" w:rsidRPr="0037133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су када</w:t>
            </w:r>
            <w:r w:rsidRPr="0037133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1)</w:t>
            </w:r>
            <w:r w:rsidRPr="0055575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у календарској години постројење ради мање од 500 часова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за 2) загађујуће материје за које није прописана ГВЕ</w:t>
            </w:r>
            <w:r w:rsidRPr="0055575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1F7C0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018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76A7D81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34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B5DA843" w14:textId="77777777" w:rsidR="008147BB" w:rsidRPr="009358CE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81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875E2F" w14:paraId="44F6732D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F709" w14:textId="77777777" w:rsidR="008147BB" w:rsidRPr="000548AD" w:rsidRDefault="000158AC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8147BB"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C30EEE" w14:textId="77777777" w:rsidR="008147BB" w:rsidRPr="00FA315F" w:rsidRDefault="00212EE3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овлашћено лице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из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вршило годишње испитивање исправности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аутоматских мерних уређаја (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</w:rPr>
              <w:t>AST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Latn-RS"/>
              </w:rPr>
              <w:t>,</w:t>
            </w:r>
            <w:r w:rsidRPr="00FE4B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све 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загађујућ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материј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пратећ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парамет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 из прилога дозволе за континуална мерења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8134" w14:textId="77777777" w:rsidR="008147BB" w:rsidRDefault="008147BB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0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F0958F9" w14:textId="77777777" w:rsidR="008147BB" w:rsidRDefault="008147BB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254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4A6FAF5" w14:textId="77777777" w:rsidR="008147BB" w:rsidRPr="00FA315F" w:rsidRDefault="00DC51B8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5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2A7C1F62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D6E06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62AC81" w14:textId="77777777" w:rsidR="00C00C4F" w:rsidRPr="00FA315F" w:rsidRDefault="00212EE3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овлашћено лице у последњих пет година извршило калибрацију 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аутоматског мерног система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у складу </w:t>
            </w:r>
            <w:r w:rsidRP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са процедуром обезбеђења поверења нивоа 2 („QAL 2”)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,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за св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загађујуће материје и за све пратеће параметре </w:t>
            </w:r>
            <w:r w:rsidRPr="00D955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из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прилога </w:t>
            </w:r>
            <w:r w:rsidRPr="00D955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дозволе за континуална мерења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09FEB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077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E839FB0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487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91E7F2" w14:textId="77777777" w:rsidR="00C00C4F" w:rsidRPr="009358CE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146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2718B1F2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CBEBA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BDD464" w14:textId="77777777" w:rsidR="00C00C4F" w:rsidRPr="00FA315F" w:rsidRDefault="00C70816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калибрација аутоматског мерног система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„QAL 2” процедуром</w:t>
            </w:r>
            <w:r w:rsidR="00C00C4F" w:rsidRPr="007B4E7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, извршена </w:t>
            </w:r>
            <w:r w:rsidR="00C00C4F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у опсегу различитих оптерећења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постројења </w:t>
            </w:r>
            <w:r w:rsidR="00C00C4F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 других услова рада </w:t>
            </w:r>
            <w:r w:rsidR="00C00C4F" w:rsidRPr="007B4E7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пост</w:t>
            </w:r>
            <w:r w:rsidR="00C00C4F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ројења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9CCAE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3893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97E0C93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1333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3B52352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484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061D3E82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F4A62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8577A8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извршена додатна калибрација QAL2 поступком, у року од три месеци после значајне измене аутоматског мерног уређаја (поправка, преправка мерила, премештање) и битних промена у раду постројења, као што је реконструкција, промена горива и промена уређаја за смањење емисије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C2ACB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329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9128184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786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5FF81A4" w14:textId="77777777" w:rsidR="00C00C4F" w:rsidRPr="009358CE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53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0CD9E424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3B11B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DE3545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48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унете калибрационе криве</w:t>
            </w:r>
            <w:r w:rsidRPr="000548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после испитивања </w:t>
            </w:r>
            <w:r w:rsidRPr="000548AD">
              <w:rPr>
                <w:rFonts w:ascii="Times New Roman" w:hAnsi="Times New Roman" w:cs="Times New Roman"/>
                <w:sz w:val="24"/>
                <w:szCs w:val="24"/>
              </w:rPr>
              <w:t>QAL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поступком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E7774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746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4295962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164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156DFF0" w14:textId="77777777" w:rsidR="00C00C4F" w:rsidRPr="009358CE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803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036ECE37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1E66A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C11FDD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се врши редовно одржавање и контрола исправности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 вођење евиденције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аутоматског мерног система, у складу са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</w:rPr>
              <w:t>QAL</w:t>
            </w:r>
            <w:r w:rsidRPr="00F3024E"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  <w:t>3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поступком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03355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89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FEE19BE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533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C5E945E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731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211624EC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9D564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А8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AC4D1F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су у раду сви аутоматски уређаји за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загађујуће материје </w:t>
            </w:r>
            <w:r w:rsidRPr="00157A94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="00D67D90" w:rsidRPr="00157A94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сви аутоматски уређаји </w:t>
            </w:r>
            <w:r w:rsidRPr="00157A94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за пар</w:t>
            </w:r>
            <w:r w:rsidRPr="00157A94">
              <w:rPr>
                <w:rFonts w:ascii="Times New Roman" w:eastAsia="TimesNewRoman" w:hAnsi="Times New Roman" w:cs="Times New Roman"/>
                <w:sz w:val="24"/>
                <w:szCs w:val="24"/>
                <w:lang w:val="sr-Latn-RS"/>
              </w:rPr>
              <w:t>a</w:t>
            </w:r>
            <w:r w:rsidRPr="00157A94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метре стања отпадног гаса (температура,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запремински проток, влажност, притисак и удео кисеоника), из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прилога дозволе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за континуална мерења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77867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96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172CE9A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625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C6CB2D9" w14:textId="77777777" w:rsidR="00C00C4F" w:rsidRPr="009358CE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5939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20F09B46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2F66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А9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8E48B3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925C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Да ли постоји дневни, месечни и годишњи извештај о мерењу са следећим резултатима: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1)</w:t>
            </w:r>
            <w:r w:rsidRPr="00C925C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годишњи просек средњих дневних вредности, 2) получасовне средње вредности и проценат који прекорачује 120 одсто ГВЕ, 3) број получасовних средњих вредности који прекорачује 200 одсто ГВЕ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E367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20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F2BC13B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460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CA0D3F7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37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:rsidRPr="00F3024E" w14:paraId="0CD1C262" w14:textId="77777777" w:rsidTr="00F3024E">
        <w:trPr>
          <w:cantSplit/>
        </w:trPr>
        <w:tc>
          <w:tcPr>
            <w:tcW w:w="10800" w:type="dxa"/>
            <w:gridSpan w:val="3"/>
            <w:vAlign w:val="center"/>
          </w:tcPr>
          <w:p w14:paraId="49819F86" w14:textId="77777777" w:rsidR="00C00C4F" w:rsidRDefault="00C00C4F" w:rsidP="00F30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Б</w:t>
            </w:r>
            <w:r w:rsidRPr="00054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) </w:t>
            </w:r>
            <w:r w:rsidRPr="00AB00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Усклађеност са граничним вредностима емисије (ГВЕ)</w:t>
            </w:r>
          </w:p>
        </w:tc>
      </w:tr>
      <w:tr w:rsidR="00C00C4F" w14:paraId="2FDF50FD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ACFE3" w14:textId="77777777" w:rsidR="00C00C4F" w:rsidRPr="00314722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A630B3" w14:textId="77777777" w:rsidR="00C00C4F" w:rsidRPr="000B1D9F" w:rsidRDefault="00ED7200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су у извештајима</w:t>
            </w:r>
            <w:r w:rsidR="00C00C4F" w:rsidRPr="0051021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континуалном мерењу примењене правилне ГВЕ вредности које су прописане уредбом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718D2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9659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470094E" w14:textId="77777777" w:rsidR="00C00C4F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326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921C715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58C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9358CE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C00C4F" w14:paraId="69881B66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2C404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969995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емисије свих загађујућих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материја у дозвољеним вредностима,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из извештаја о континуалном мерењу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EB195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17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3F93C6" w14:textId="77777777" w:rsidR="00C00C4F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0850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A14C2F5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58C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9358CE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C00C4F" w:rsidRPr="00F3024E" w14:paraId="2397F24E" w14:textId="77777777" w:rsidTr="00F3024E">
        <w:trPr>
          <w:cantSplit/>
        </w:trPr>
        <w:tc>
          <w:tcPr>
            <w:tcW w:w="10800" w:type="dxa"/>
            <w:gridSpan w:val="3"/>
            <w:vAlign w:val="center"/>
          </w:tcPr>
          <w:p w14:paraId="25901590" w14:textId="77777777" w:rsidR="00C00C4F" w:rsidRDefault="00C00C4F" w:rsidP="00F30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В) Рад уређаја за смањивање емисије (испуштања)</w:t>
            </w:r>
          </w:p>
        </w:tc>
      </w:tr>
      <w:tr w:rsidR="00C00C4F" w14:paraId="0B0A3797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76EA2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9BFD97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48A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постоји евиденција о раду уређаја за спречавање или смањивање емисије загађујућих материја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C614C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29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60D797A" w14:textId="77777777" w:rsidR="00C00C4F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825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DFA0121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58C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9358CE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C00C4F" w14:paraId="4C5F8D44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36536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4E9BC9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48A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оператер у случају </w:t>
            </w:r>
            <w:r w:rsidRPr="000548A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ивање</w:t>
            </w:r>
            <w:r w:rsidRPr="000548A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емисије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одмах отклонио квар и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поремећај, 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односно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прилагодио рад насталој околности и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обуставио рад постројења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како би 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емисиј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све</w:t>
            </w:r>
            <w:r w:rsidR="00F0239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 дозвољене вредности 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B5FB0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511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852AB8B" w14:textId="77777777" w:rsidR="00C00C4F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C69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431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68BCDB5" w14:textId="77777777" w:rsidR="00C00C4F" w:rsidRPr="00FA315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58C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9358CE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C00C4F" w14:paraId="17F3B43E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B54DB" w14:textId="77777777" w:rsidR="00C00C4F" w:rsidRPr="00147EA5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В3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B2FF4C" w14:textId="77777777" w:rsidR="00C00C4F" w:rsidRDefault="00C00C4F" w:rsidP="00F3024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</w:pPr>
            <w:r w:rsidRPr="00147EA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Да ли су у раду мерни уређаји који континуално прате параметре рада уређаја за пречишћавање прашкастих материја</w:t>
            </w:r>
          </w:p>
          <w:p w14:paraId="0EF8C0C2" w14:textId="77777777" w:rsidR="00C00C4F" w:rsidRPr="00147EA5" w:rsidRDefault="00C00C4F" w:rsidP="00F3024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</w:pPr>
            <w:r w:rsidRPr="00310702">
              <w:rPr>
                <w:rFonts w:ascii="Times New Roman" w:eastAsia="TimesNewRoman" w:hAnsi="Times New Roman" w:cs="Times New Roman"/>
                <w:i/>
                <w:sz w:val="24"/>
                <w:szCs w:val="24"/>
                <w:lang w:val="sr-Cyrl-RS"/>
              </w:rPr>
              <w:t>(Обавеза постоји за масени проток од 1 до 3 kg/h)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78427" w14:textId="77777777" w:rsidR="00C00C4F" w:rsidRPr="00147EA5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7E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657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EA5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365B66A" w14:textId="77777777" w:rsidR="00C00C4F" w:rsidRPr="00147EA5" w:rsidRDefault="00C00C4F" w:rsidP="00F3024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7E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991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EA5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013F03B" w14:textId="77777777" w:rsidR="00C00C4F" w:rsidRPr="00787A46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901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147EA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C00C4F" w:rsidRPr="00F3024E" w14:paraId="3F8C9034" w14:textId="77777777" w:rsidTr="00F3024E">
        <w:trPr>
          <w:cantSplit/>
        </w:trPr>
        <w:tc>
          <w:tcPr>
            <w:tcW w:w="10800" w:type="dxa"/>
            <w:gridSpan w:val="3"/>
            <w:vAlign w:val="center"/>
          </w:tcPr>
          <w:p w14:paraId="7B5679D3" w14:textId="77777777" w:rsidR="00C00C4F" w:rsidRDefault="00C00C4F" w:rsidP="00F30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CA24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Достава података државним органима</w:t>
            </w:r>
          </w:p>
        </w:tc>
      </w:tr>
      <w:tr w:rsidR="00C00C4F" w14:paraId="738F8348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E898" w14:textId="77777777" w:rsidR="00C00C4F" w:rsidRPr="000548AD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0548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DBD08F" w14:textId="77777777" w:rsidR="00C00C4F" w:rsidRPr="004A347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56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</w:t>
            </w:r>
            <w:r w:rsidRPr="00F3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56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Агенцији, </w:t>
            </w:r>
            <w:r w:rsidR="00F8743F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односно </w:t>
            </w:r>
            <w:r w:rsidR="00F874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јединици </w:t>
            </w:r>
            <w:r w:rsidR="00F8743F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 w:rsidR="00F874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F8743F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 w:rsidR="00F874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F8743F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F874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 31. марта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 </w:t>
            </w:r>
            <w:r w:rsidRPr="002256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Извештај о годишњем билансу емисија (односно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бразац број 2-Емисије у ваздух), </w:t>
            </w:r>
            <w:r w:rsidR="005F436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који 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попуњен за све испусте отпадних гасова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CC069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4360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1CE5A67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103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46F0E97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2627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1601455A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C457C" w14:textId="77777777" w:rsidR="00C00C4F" w:rsidRPr="009A3F6E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F28847" w14:textId="77777777" w:rsidR="00C00C4F" w:rsidRPr="00314722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0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у Извештају о годишњем билансу емисија (односно Обрасцу број 2–Емисије у ваздух), унета средња концентрација и годишња количина емисије за сваку загађујућу материју из извештаја о континуалним мерењима и у складу са резултатима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нтинуалних мерења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2EAA8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62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6D0E0DC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48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64F29BF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465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7BC0087F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E53AE" w14:textId="77777777" w:rsidR="00C00C4F" w:rsidRPr="009A3F6E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6D06B7" w14:textId="77777777" w:rsidR="00C00C4F" w:rsidRPr="00FA315F" w:rsidRDefault="007B6DF1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достав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ио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надлежном органу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аутономна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покрајина или Агенција) све месечне и годишњи извештај аутоматског мерног система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тромесечно а годишњи до 31. јануара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75F69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9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004438B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6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EA003D7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1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:rsidRPr="00F3024E" w14:paraId="1F64424D" w14:textId="77777777" w:rsidTr="00F3024E">
        <w:trPr>
          <w:cantSplit/>
        </w:trPr>
        <w:tc>
          <w:tcPr>
            <w:tcW w:w="10800" w:type="dxa"/>
            <w:gridSpan w:val="3"/>
            <w:vAlign w:val="center"/>
          </w:tcPr>
          <w:p w14:paraId="1112F596" w14:textId="77777777" w:rsidR="00C00C4F" w:rsidRDefault="00C00C4F" w:rsidP="00F30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CA24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4306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и реконструисана постројења после 23.05.2009.године</w:t>
            </w:r>
          </w:p>
        </w:tc>
      </w:tr>
      <w:tr w:rsidR="00C00C4F" w14:paraId="380B7651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05066" w14:textId="77777777" w:rsidR="00C00C4F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293D61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на основу Закона о заштити ваздуха надлежни орган издао дозволу или привремено одобрио рад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постројења које је изграђено или реконструисано после 23.05.2009.године </w:t>
            </w:r>
          </w:p>
          <w:p w14:paraId="6124BAC2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(Обавеза не постоји за постројење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прописано издавање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интергисан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дозвол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е, за постројење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које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прописана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обавезна процена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за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надлежни орган одлучио да је потребна израда студије о процени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D7C84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037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B3EBE33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97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139A19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430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37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0C4F" w14:paraId="0B24EED2" w14:textId="77777777" w:rsidTr="00F3024E">
        <w:trPr>
          <w:cantSplit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6D4F9" w14:textId="77777777" w:rsidR="00C00C4F" w:rsidRPr="00B22F24" w:rsidRDefault="00C00C4F" w:rsidP="00F30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51C3D" w14:textId="77777777" w:rsidR="00C00C4F" w:rsidRPr="000B1D9F" w:rsidRDefault="004C3399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прибављен извештај овлашћеног лица о гаранцијском мерењу емисије које је извршено у условима највећег оптерећења постројења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је изграђено или реконструисано после 23.05.2009.године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2A72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717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B5E52E5" w14:textId="77777777" w:rsidR="00C00C4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1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C9F0238" w14:textId="77777777" w:rsidR="00C00C4F" w:rsidRPr="000B1D9F" w:rsidRDefault="00C00C4F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28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22EAA4EA" w14:textId="77777777" w:rsidR="00E6032D" w:rsidRDefault="00E6032D" w:rsidP="00F3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C56872" w14:textId="77777777" w:rsidR="001E14F8" w:rsidRPr="001E14F8" w:rsidRDefault="001E14F8" w:rsidP="00F3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** </w:t>
      </w:r>
      <w:r w:rsidR="00850702">
        <w:rPr>
          <w:rFonts w:ascii="Times New Roman" w:hAnsi="Times New Roman" w:cs="Times New Roman"/>
          <w:sz w:val="24"/>
          <w:szCs w:val="24"/>
          <w:lang w:val="sr-Cyrl-RS"/>
        </w:rPr>
        <w:t>Не примењују се г</w:t>
      </w:r>
      <w:r w:rsidR="003B1AFE">
        <w:rPr>
          <w:rFonts w:ascii="Times New Roman" w:hAnsi="Times New Roman" w:cs="Times New Roman"/>
          <w:sz w:val="24"/>
          <w:szCs w:val="24"/>
          <w:lang w:val="sr-Cyrl-RS"/>
        </w:rPr>
        <w:t xml:space="preserve">раничне вредности емисије и масени протоци за </w:t>
      </w:r>
      <w:r w:rsidR="00EF1387">
        <w:rPr>
          <w:rFonts w:ascii="Times New Roman" w:hAnsi="Times New Roman" w:cs="Times New Roman"/>
          <w:sz w:val="24"/>
          <w:szCs w:val="24"/>
          <w:lang w:val="sr-Cyrl-RS"/>
        </w:rPr>
        <w:t xml:space="preserve">које се врше </w:t>
      </w:r>
      <w:r w:rsidR="003B1AFE">
        <w:rPr>
          <w:rFonts w:ascii="Times New Roman" w:hAnsi="Times New Roman" w:cs="Times New Roman"/>
          <w:sz w:val="24"/>
          <w:szCs w:val="24"/>
          <w:lang w:val="sr-Cyrl-RS"/>
        </w:rPr>
        <w:t xml:space="preserve">континуална мерења емисије из </w:t>
      </w:r>
      <w:r w:rsidR="003B1AFE" w:rsidRPr="00277B4C">
        <w:rPr>
          <w:rFonts w:ascii="Times New Roman" w:eastAsia="Calibri" w:hAnsi="Times New Roman" w:cs="Times New Roman"/>
          <w:sz w:val="24"/>
          <w:szCs w:val="24"/>
          <w:lang w:val="sr-Cyrl-RS"/>
        </w:rPr>
        <w:t>Уредб</w:t>
      </w:r>
      <w:r w:rsidR="003B1AFE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3B1AFE" w:rsidRPr="00277B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граничним вредностима емисија загађујућих материја у ваздух из стационарних извора загађивања, осим постројења за сагоре</w:t>
      </w:r>
      <w:r w:rsidR="003B1AFE">
        <w:rPr>
          <w:rFonts w:ascii="Times New Roman" w:eastAsia="Calibri" w:hAnsi="Times New Roman" w:cs="Times New Roman"/>
          <w:sz w:val="24"/>
          <w:szCs w:val="24"/>
          <w:lang w:val="sr-Cyrl-RS"/>
        </w:rPr>
        <w:t>вање</w:t>
      </w:r>
      <w:r w:rsidR="00D2416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507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24160">
        <w:rPr>
          <w:rFonts w:ascii="Times New Roman" w:eastAsia="Calibri" w:hAnsi="Times New Roman" w:cs="Times New Roman"/>
          <w:sz w:val="24"/>
          <w:szCs w:val="24"/>
          <w:lang w:val="sr-Cyrl-RS"/>
        </w:rPr>
        <w:t>на</w:t>
      </w:r>
      <w:r w:rsidRPr="001E14F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644A32D" w14:textId="77777777" w:rsidR="00DE32EA" w:rsidRDefault="00DE32EA" w:rsidP="00F3024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1E14F8" w:rsidRPr="004717CD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Поступке термичког третмана отпада и </w:t>
      </w:r>
    </w:p>
    <w:p w14:paraId="6234ACF1" w14:textId="77777777" w:rsidR="001E14F8" w:rsidRDefault="00DE32EA" w:rsidP="00F3024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E14F8" w:rsidRPr="004717CD">
        <w:rPr>
          <w:rFonts w:ascii="Times New Roman" w:hAnsi="Times New Roman" w:cs="Times New Roman"/>
          <w:sz w:val="24"/>
          <w:szCs w:val="24"/>
          <w:lang w:val="sr-Cyrl-RS"/>
        </w:rPr>
        <w:t xml:space="preserve"> Емисије испарљивих органских једињења, према значењу израза из чала 2. став 1. тачка 22) Уредбе о листи индустријских постројења и активности у којима се контролише емисија испарљивих органских једињења, о вредностима емисије испарљивих органских једињења при одређеној потрошњи растварача и укупним дозвољеним емисијама, као и шеми за смањење емисија („Службени гласник РС”, број 100/11 од 29.12.2011); у случају врст</w:t>
      </w:r>
      <w:r w:rsidR="003B1AFE" w:rsidRPr="004717C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E14F8" w:rsidRPr="004717CD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из Прилога 1 ове уредбе. Обратити пажњу како на услове стандардне температуре од 20 степени целзијуса, тако и на радне услове у којима се примењује хемикалија.</w:t>
      </w:r>
    </w:p>
    <w:p w14:paraId="19DB9137" w14:textId="77777777" w:rsidR="008147BB" w:rsidRPr="004717CD" w:rsidRDefault="008147BB" w:rsidP="00F3024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913" w:type="dxa"/>
        <w:tblInd w:w="-635" w:type="dxa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2F4BB0" w:rsidRPr="00171EFE" w14:paraId="35AD4D41" w14:textId="77777777" w:rsidTr="00B8386C"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A188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7A5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П</w:t>
            </w:r>
            <w:r w:rsidRPr="009B7A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B8386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9AE0" w14:textId="77777777" w:rsidR="002F4BB0" w:rsidRPr="00F3024E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9B7A59" w14:paraId="19EB5802" w14:textId="77777777" w:rsidTr="00B8386C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433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D58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4A7B" w14:textId="77777777" w:rsidR="002F4BB0" w:rsidRPr="009B7A59" w:rsidRDefault="002F4BB0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9B7A59" w14:paraId="492AF939" w14:textId="77777777" w:rsidTr="00B8386C">
        <w:trPr>
          <w:trHeight w:val="28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9FF" w14:textId="77777777" w:rsidR="002F4BB0" w:rsidRPr="007B08C7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176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EBF3B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9B7A59" w14:paraId="149851A4" w14:textId="77777777" w:rsidTr="00B8386C">
        <w:trPr>
          <w:trHeight w:val="32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1CB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34F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037C5" w14:textId="77777777" w:rsidR="002F4BB0" w:rsidRPr="009B7A59" w:rsidRDefault="002F4BB0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9B7A59" w14:paraId="7693876E" w14:textId="77777777" w:rsidTr="00B8386C">
        <w:trPr>
          <w:trHeight w:val="22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896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B53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97E9" w14:textId="77777777" w:rsidR="002F4BB0" w:rsidRPr="009B7A59" w:rsidRDefault="002F4BB0" w:rsidP="00F302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9B7A59" w14:paraId="0FB48A69" w14:textId="77777777" w:rsidTr="00A47E26">
        <w:tc>
          <w:tcPr>
            <w:tcW w:w="10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33C" w14:textId="77777777" w:rsidR="002F4BB0" w:rsidRPr="009B7A59" w:rsidRDefault="00D35A14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D35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F3024E" w14:paraId="401CC360" w14:textId="77777777" w:rsidTr="00B0057D">
        <w:trPr>
          <w:trHeight w:val="386"/>
        </w:trPr>
        <w:tc>
          <w:tcPr>
            <w:tcW w:w="10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7CF" w14:textId="77777777" w:rsidR="002F4BB0" w:rsidRPr="009B7A59" w:rsidRDefault="002F4BB0" w:rsidP="00F302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302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9B7A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2A80160A" w14:textId="77777777" w:rsidR="003B4215" w:rsidRPr="007B08C7" w:rsidRDefault="003B4215" w:rsidP="00F3024E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3B4215" w:rsidRPr="007B08C7" w:rsidSect="00954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08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503B" w14:textId="77777777" w:rsidR="002A3F73" w:rsidRDefault="002A3F73" w:rsidP="002F4BB0">
      <w:pPr>
        <w:spacing w:after="0" w:line="240" w:lineRule="auto"/>
      </w:pPr>
      <w:r>
        <w:separator/>
      </w:r>
    </w:p>
  </w:endnote>
  <w:endnote w:type="continuationSeparator" w:id="0">
    <w:p w14:paraId="703AE13C" w14:textId="77777777" w:rsidR="002A3F73" w:rsidRDefault="002A3F73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8F79A" w14:textId="77777777" w:rsidR="008369FD" w:rsidRDefault="00836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E97237" w14:textId="6518C824" w:rsidR="002F4BB0" w:rsidRPr="009329E7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29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9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29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D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329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717CD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EBE0" w14:textId="77777777" w:rsidR="008369FD" w:rsidRDefault="00836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1E98" w14:textId="77777777" w:rsidR="002A3F73" w:rsidRDefault="002A3F73" w:rsidP="002F4BB0">
      <w:pPr>
        <w:spacing w:after="0" w:line="240" w:lineRule="auto"/>
      </w:pPr>
      <w:r>
        <w:separator/>
      </w:r>
    </w:p>
  </w:footnote>
  <w:footnote w:type="continuationSeparator" w:id="0">
    <w:p w14:paraId="308EBDEF" w14:textId="77777777" w:rsidR="002A3F73" w:rsidRDefault="002A3F73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9E31" w14:textId="77777777" w:rsidR="008369FD" w:rsidRDefault="00836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90E82" w14:textId="77777777" w:rsidR="00912A52" w:rsidRDefault="00912A52">
    <w:pPr>
      <w:pStyle w:val="Header"/>
    </w:pPr>
  </w:p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4986"/>
      <w:gridCol w:w="2628"/>
    </w:tblGrid>
    <w:tr w:rsidR="00A046D4" w:rsidRPr="00A046D4" w14:paraId="537C942E" w14:textId="77777777" w:rsidTr="008C2D16">
      <w:trPr>
        <w:trHeight w:val="1088"/>
      </w:trPr>
      <w:tc>
        <w:tcPr>
          <w:tcW w:w="2916" w:type="dxa"/>
          <w:shd w:val="clear" w:color="auto" w:fill="auto"/>
        </w:tcPr>
        <w:p w14:paraId="338E62E6" w14:textId="0775A07E" w:rsidR="00A046D4" w:rsidRPr="00A046D4" w:rsidRDefault="008C2D16" w:rsidP="00A046D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>
            <w:rPr>
              <w:noProof/>
              <w:color w:val="000000"/>
            </w:rPr>
            <w:drawing>
              <wp:inline distT="0" distB="0" distL="0" distR="0" wp14:anchorId="469AB912" wp14:editId="38BAC35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shd w:val="clear" w:color="auto" w:fill="auto"/>
          <w:vAlign w:val="center"/>
        </w:tcPr>
        <w:p w14:paraId="07045D09" w14:textId="77777777" w:rsidR="008C2D16" w:rsidRPr="008C2D16" w:rsidRDefault="008C2D16" w:rsidP="008C2D1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 w:rsidRPr="008C2D16"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4D71CA95" w14:textId="77777777" w:rsidR="008C2D16" w:rsidRPr="008C2D16" w:rsidRDefault="008C2D16" w:rsidP="008C2D1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 w:rsidRPr="008C2D16"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1758555" w14:textId="77777777" w:rsidR="008C2D16" w:rsidRPr="008C2D16" w:rsidRDefault="008C2D16" w:rsidP="008C2D16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8C2D16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3488C122" w14:textId="77777777" w:rsidR="008C2D16" w:rsidRPr="008C2D16" w:rsidRDefault="008C2D16" w:rsidP="008C2D16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 w:rsidRPr="008C2D16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7D65F21D" w14:textId="77777777" w:rsidR="008C2D16" w:rsidRPr="008C2D16" w:rsidRDefault="008C2D16" w:rsidP="008C2D1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8C2D16"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B064EA7" w14:textId="77777777" w:rsidR="008C2D16" w:rsidRPr="008C2D16" w:rsidRDefault="008C2D16" w:rsidP="008C2D1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 w:rsidRPr="008C2D16"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34D1DB5B" w14:textId="4C0429EB" w:rsidR="00A046D4" w:rsidRPr="00F3024E" w:rsidRDefault="008C2D16" w:rsidP="008C2D1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hyperlink r:id="rId2" w:history="1">
            <w:r w:rsidRPr="008C2D16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8C2D16">
            <w:rPr>
              <w:rFonts w:cstheme="minorHAns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8C2D16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  <w:bookmarkStart w:id="0" w:name="_GoBack"/>
          <w:bookmarkEnd w:id="0"/>
        </w:p>
      </w:tc>
      <w:tc>
        <w:tcPr>
          <w:tcW w:w="2628" w:type="dxa"/>
          <w:shd w:val="clear" w:color="auto" w:fill="auto"/>
          <w:vAlign w:val="center"/>
        </w:tcPr>
        <w:p w14:paraId="71D912F0" w14:textId="7E3FE44E" w:rsidR="00A046D4" w:rsidRPr="006617A1" w:rsidRDefault="00D77BCA" w:rsidP="00F3024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КЛ-04</w:t>
          </w:r>
          <w:r w:rsidR="00157A9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-02</w:t>
          </w:r>
          <w:r w:rsidR="004F260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/0</w:t>
          </w:r>
          <w:r w:rsidR="00171EF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6</w:t>
          </w:r>
        </w:p>
        <w:p w14:paraId="66ED5982" w14:textId="0B71D393" w:rsidR="00A046D4" w:rsidRDefault="00B83D82" w:rsidP="004F260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6617A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171EF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4F260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8369F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171EF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4F260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171EF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B333E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2FB87C12" w14:textId="005858F6" w:rsidR="00B56499" w:rsidRPr="00B56499" w:rsidRDefault="00B56499" w:rsidP="004F260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</w:pPr>
          <w:r w:rsidRPr="00B5649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  <w:t>ИНД</w:t>
          </w:r>
        </w:p>
      </w:tc>
    </w:tr>
  </w:tbl>
  <w:p w14:paraId="6D4D9A26" w14:textId="77777777" w:rsidR="00912A52" w:rsidRDefault="00912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73B05" w14:textId="77777777" w:rsidR="008369FD" w:rsidRDefault="00836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641"/>
    <w:multiLevelType w:val="hybridMultilevel"/>
    <w:tmpl w:val="0196355C"/>
    <w:lvl w:ilvl="0" w:tplc="E8325FFE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4AAF"/>
    <w:rsid w:val="00006812"/>
    <w:rsid w:val="00007382"/>
    <w:rsid w:val="000158AC"/>
    <w:rsid w:val="0002693C"/>
    <w:rsid w:val="00034597"/>
    <w:rsid w:val="0004078C"/>
    <w:rsid w:val="00043D9A"/>
    <w:rsid w:val="00045F7B"/>
    <w:rsid w:val="000468C0"/>
    <w:rsid w:val="00050D2B"/>
    <w:rsid w:val="000543D0"/>
    <w:rsid w:val="000548AD"/>
    <w:rsid w:val="000605A6"/>
    <w:rsid w:val="000644C2"/>
    <w:rsid w:val="00075D4C"/>
    <w:rsid w:val="00084BB6"/>
    <w:rsid w:val="00091EFD"/>
    <w:rsid w:val="000940A8"/>
    <w:rsid w:val="0009524F"/>
    <w:rsid w:val="00095B9B"/>
    <w:rsid w:val="00096C08"/>
    <w:rsid w:val="000A409B"/>
    <w:rsid w:val="000A6E0E"/>
    <w:rsid w:val="000B5014"/>
    <w:rsid w:val="000C6E29"/>
    <w:rsid w:val="000D0380"/>
    <w:rsid w:val="000D0666"/>
    <w:rsid w:val="000D1C99"/>
    <w:rsid w:val="000D22E2"/>
    <w:rsid w:val="000F1D01"/>
    <w:rsid w:val="000F3D84"/>
    <w:rsid w:val="000F6AD6"/>
    <w:rsid w:val="0010311D"/>
    <w:rsid w:val="00103168"/>
    <w:rsid w:val="0010370B"/>
    <w:rsid w:val="00103BED"/>
    <w:rsid w:val="00103D92"/>
    <w:rsid w:val="00112369"/>
    <w:rsid w:val="0011473E"/>
    <w:rsid w:val="00121D8F"/>
    <w:rsid w:val="00123536"/>
    <w:rsid w:val="00126E44"/>
    <w:rsid w:val="001423BC"/>
    <w:rsid w:val="00142D35"/>
    <w:rsid w:val="00143EF9"/>
    <w:rsid w:val="001445B3"/>
    <w:rsid w:val="00145E49"/>
    <w:rsid w:val="00147EA5"/>
    <w:rsid w:val="00154E37"/>
    <w:rsid w:val="00156453"/>
    <w:rsid w:val="00157A94"/>
    <w:rsid w:val="00164820"/>
    <w:rsid w:val="00165BBB"/>
    <w:rsid w:val="001678FA"/>
    <w:rsid w:val="0017007B"/>
    <w:rsid w:val="00170614"/>
    <w:rsid w:val="0017115F"/>
    <w:rsid w:val="00171EFE"/>
    <w:rsid w:val="0017354F"/>
    <w:rsid w:val="001801F2"/>
    <w:rsid w:val="00184ED2"/>
    <w:rsid w:val="00187A07"/>
    <w:rsid w:val="00193DF0"/>
    <w:rsid w:val="00194EB3"/>
    <w:rsid w:val="00197985"/>
    <w:rsid w:val="001A0C5B"/>
    <w:rsid w:val="001B1E98"/>
    <w:rsid w:val="001C348A"/>
    <w:rsid w:val="001C460E"/>
    <w:rsid w:val="001C4DB5"/>
    <w:rsid w:val="001C55F8"/>
    <w:rsid w:val="001C7336"/>
    <w:rsid w:val="001D3D04"/>
    <w:rsid w:val="001E14F8"/>
    <w:rsid w:val="0020147F"/>
    <w:rsid w:val="00202B35"/>
    <w:rsid w:val="00212EE3"/>
    <w:rsid w:val="002179EF"/>
    <w:rsid w:val="0022559F"/>
    <w:rsid w:val="0023235B"/>
    <w:rsid w:val="00232F97"/>
    <w:rsid w:val="00234C0A"/>
    <w:rsid w:val="00252972"/>
    <w:rsid w:val="002608DD"/>
    <w:rsid w:val="00275D38"/>
    <w:rsid w:val="00276327"/>
    <w:rsid w:val="00277B4C"/>
    <w:rsid w:val="00292129"/>
    <w:rsid w:val="002924FC"/>
    <w:rsid w:val="00293081"/>
    <w:rsid w:val="00296BC5"/>
    <w:rsid w:val="00296FFF"/>
    <w:rsid w:val="002A3F73"/>
    <w:rsid w:val="002A50C5"/>
    <w:rsid w:val="002B0F34"/>
    <w:rsid w:val="002B7150"/>
    <w:rsid w:val="002D41DF"/>
    <w:rsid w:val="002E306A"/>
    <w:rsid w:val="002E629A"/>
    <w:rsid w:val="002F0CD6"/>
    <w:rsid w:val="002F4BB0"/>
    <w:rsid w:val="002F4E84"/>
    <w:rsid w:val="00303519"/>
    <w:rsid w:val="00310702"/>
    <w:rsid w:val="0031245E"/>
    <w:rsid w:val="00325149"/>
    <w:rsid w:val="00334972"/>
    <w:rsid w:val="00347E33"/>
    <w:rsid w:val="00350360"/>
    <w:rsid w:val="00353C28"/>
    <w:rsid w:val="00354C56"/>
    <w:rsid w:val="00360B0F"/>
    <w:rsid w:val="003611CC"/>
    <w:rsid w:val="00362814"/>
    <w:rsid w:val="0036284E"/>
    <w:rsid w:val="00363474"/>
    <w:rsid w:val="00371337"/>
    <w:rsid w:val="00373BF4"/>
    <w:rsid w:val="003A2A6E"/>
    <w:rsid w:val="003A3A5F"/>
    <w:rsid w:val="003A7A25"/>
    <w:rsid w:val="003B1AFE"/>
    <w:rsid w:val="003B4215"/>
    <w:rsid w:val="003C0610"/>
    <w:rsid w:val="003C4833"/>
    <w:rsid w:val="003C4900"/>
    <w:rsid w:val="003D0D7E"/>
    <w:rsid w:val="003E34EE"/>
    <w:rsid w:val="00402575"/>
    <w:rsid w:val="00406EA6"/>
    <w:rsid w:val="004306AD"/>
    <w:rsid w:val="00431091"/>
    <w:rsid w:val="00432F3C"/>
    <w:rsid w:val="0043646F"/>
    <w:rsid w:val="00445F16"/>
    <w:rsid w:val="00446E56"/>
    <w:rsid w:val="00446E71"/>
    <w:rsid w:val="004602AA"/>
    <w:rsid w:val="004717CD"/>
    <w:rsid w:val="0047216E"/>
    <w:rsid w:val="004759C7"/>
    <w:rsid w:val="004767D3"/>
    <w:rsid w:val="004779F4"/>
    <w:rsid w:val="004845A4"/>
    <w:rsid w:val="004A077C"/>
    <w:rsid w:val="004A347F"/>
    <w:rsid w:val="004A377E"/>
    <w:rsid w:val="004A3804"/>
    <w:rsid w:val="004A382C"/>
    <w:rsid w:val="004B0A6C"/>
    <w:rsid w:val="004C3399"/>
    <w:rsid w:val="004C5161"/>
    <w:rsid w:val="004C7515"/>
    <w:rsid w:val="004D0F32"/>
    <w:rsid w:val="004D332D"/>
    <w:rsid w:val="004D6784"/>
    <w:rsid w:val="004F260E"/>
    <w:rsid w:val="004F327F"/>
    <w:rsid w:val="004F3AA3"/>
    <w:rsid w:val="0050045D"/>
    <w:rsid w:val="005018F7"/>
    <w:rsid w:val="0051021A"/>
    <w:rsid w:val="00524A3E"/>
    <w:rsid w:val="00532ACF"/>
    <w:rsid w:val="005367FA"/>
    <w:rsid w:val="0055601B"/>
    <w:rsid w:val="00557D18"/>
    <w:rsid w:val="00562C01"/>
    <w:rsid w:val="005701E6"/>
    <w:rsid w:val="0059463D"/>
    <w:rsid w:val="0059725E"/>
    <w:rsid w:val="005A76E0"/>
    <w:rsid w:val="005D29C7"/>
    <w:rsid w:val="005D79D5"/>
    <w:rsid w:val="005E1CE7"/>
    <w:rsid w:val="005E52B5"/>
    <w:rsid w:val="005E693E"/>
    <w:rsid w:val="005E78F6"/>
    <w:rsid w:val="005E791A"/>
    <w:rsid w:val="005F208D"/>
    <w:rsid w:val="005F436E"/>
    <w:rsid w:val="00602EE0"/>
    <w:rsid w:val="006052E7"/>
    <w:rsid w:val="00613F21"/>
    <w:rsid w:val="006219C8"/>
    <w:rsid w:val="006242EE"/>
    <w:rsid w:val="00637470"/>
    <w:rsid w:val="00641653"/>
    <w:rsid w:val="0065544F"/>
    <w:rsid w:val="006617A1"/>
    <w:rsid w:val="006636DB"/>
    <w:rsid w:val="006649A1"/>
    <w:rsid w:val="00675921"/>
    <w:rsid w:val="0068771E"/>
    <w:rsid w:val="0069140D"/>
    <w:rsid w:val="00694B96"/>
    <w:rsid w:val="006A3054"/>
    <w:rsid w:val="006A50C2"/>
    <w:rsid w:val="006A51B7"/>
    <w:rsid w:val="006A5E63"/>
    <w:rsid w:val="006B3591"/>
    <w:rsid w:val="006C7431"/>
    <w:rsid w:val="006D7DF9"/>
    <w:rsid w:val="006F0A2D"/>
    <w:rsid w:val="006F7B00"/>
    <w:rsid w:val="0070307E"/>
    <w:rsid w:val="00705712"/>
    <w:rsid w:val="00723B00"/>
    <w:rsid w:val="007271B6"/>
    <w:rsid w:val="00731D24"/>
    <w:rsid w:val="007412D2"/>
    <w:rsid w:val="00741681"/>
    <w:rsid w:val="00774C1F"/>
    <w:rsid w:val="0077541C"/>
    <w:rsid w:val="00783BCF"/>
    <w:rsid w:val="00784903"/>
    <w:rsid w:val="00787A46"/>
    <w:rsid w:val="0079260D"/>
    <w:rsid w:val="00793DB8"/>
    <w:rsid w:val="0079687F"/>
    <w:rsid w:val="007977C1"/>
    <w:rsid w:val="007A360C"/>
    <w:rsid w:val="007A5FB7"/>
    <w:rsid w:val="007B08C7"/>
    <w:rsid w:val="007B0A7C"/>
    <w:rsid w:val="007B2C71"/>
    <w:rsid w:val="007B3B7C"/>
    <w:rsid w:val="007B4E73"/>
    <w:rsid w:val="007B5071"/>
    <w:rsid w:val="007B6DF1"/>
    <w:rsid w:val="007C38CB"/>
    <w:rsid w:val="007C4383"/>
    <w:rsid w:val="007C5AC1"/>
    <w:rsid w:val="007D4D78"/>
    <w:rsid w:val="007E69BF"/>
    <w:rsid w:val="007F13B1"/>
    <w:rsid w:val="00806B1E"/>
    <w:rsid w:val="00811D2F"/>
    <w:rsid w:val="008147BB"/>
    <w:rsid w:val="00817314"/>
    <w:rsid w:val="0082029B"/>
    <w:rsid w:val="00820F06"/>
    <w:rsid w:val="00823604"/>
    <w:rsid w:val="008238BD"/>
    <w:rsid w:val="0082687F"/>
    <w:rsid w:val="00826882"/>
    <w:rsid w:val="00831786"/>
    <w:rsid w:val="00833AEB"/>
    <w:rsid w:val="008358F9"/>
    <w:rsid w:val="008369FD"/>
    <w:rsid w:val="00840972"/>
    <w:rsid w:val="00850702"/>
    <w:rsid w:val="00863882"/>
    <w:rsid w:val="0086731C"/>
    <w:rsid w:val="00870285"/>
    <w:rsid w:val="00874FAD"/>
    <w:rsid w:val="00875E2F"/>
    <w:rsid w:val="00894451"/>
    <w:rsid w:val="008A1CA3"/>
    <w:rsid w:val="008A3BD1"/>
    <w:rsid w:val="008A5052"/>
    <w:rsid w:val="008B0162"/>
    <w:rsid w:val="008B239B"/>
    <w:rsid w:val="008B3223"/>
    <w:rsid w:val="008B359B"/>
    <w:rsid w:val="008B3C84"/>
    <w:rsid w:val="008C2D16"/>
    <w:rsid w:val="008C3E2F"/>
    <w:rsid w:val="008C5299"/>
    <w:rsid w:val="008D7674"/>
    <w:rsid w:val="008E7423"/>
    <w:rsid w:val="008E7E4A"/>
    <w:rsid w:val="00901830"/>
    <w:rsid w:val="00904B8F"/>
    <w:rsid w:val="00905315"/>
    <w:rsid w:val="00912A52"/>
    <w:rsid w:val="00916C26"/>
    <w:rsid w:val="009264F5"/>
    <w:rsid w:val="00931D1C"/>
    <w:rsid w:val="009329E7"/>
    <w:rsid w:val="00932E8C"/>
    <w:rsid w:val="00934191"/>
    <w:rsid w:val="009350A1"/>
    <w:rsid w:val="009358CE"/>
    <w:rsid w:val="00941EB2"/>
    <w:rsid w:val="0094291B"/>
    <w:rsid w:val="00947136"/>
    <w:rsid w:val="00950460"/>
    <w:rsid w:val="00950F39"/>
    <w:rsid w:val="00954E60"/>
    <w:rsid w:val="0095672B"/>
    <w:rsid w:val="00961CFD"/>
    <w:rsid w:val="00965E48"/>
    <w:rsid w:val="00977922"/>
    <w:rsid w:val="009842BA"/>
    <w:rsid w:val="00993FBB"/>
    <w:rsid w:val="0099514E"/>
    <w:rsid w:val="009A0A5F"/>
    <w:rsid w:val="009A3F6E"/>
    <w:rsid w:val="009B15CF"/>
    <w:rsid w:val="009B1D8D"/>
    <w:rsid w:val="009B1E45"/>
    <w:rsid w:val="009B785B"/>
    <w:rsid w:val="009B7A59"/>
    <w:rsid w:val="009C2399"/>
    <w:rsid w:val="00A00F79"/>
    <w:rsid w:val="00A03D1B"/>
    <w:rsid w:val="00A046D4"/>
    <w:rsid w:val="00A0732E"/>
    <w:rsid w:val="00A271F0"/>
    <w:rsid w:val="00A30DA3"/>
    <w:rsid w:val="00A31024"/>
    <w:rsid w:val="00A33D26"/>
    <w:rsid w:val="00A40A76"/>
    <w:rsid w:val="00A41A6B"/>
    <w:rsid w:val="00A44471"/>
    <w:rsid w:val="00A47076"/>
    <w:rsid w:val="00A47E26"/>
    <w:rsid w:val="00A50144"/>
    <w:rsid w:val="00A75374"/>
    <w:rsid w:val="00A77A3A"/>
    <w:rsid w:val="00A86066"/>
    <w:rsid w:val="00A97709"/>
    <w:rsid w:val="00AB00E6"/>
    <w:rsid w:val="00AB1D67"/>
    <w:rsid w:val="00AB7F46"/>
    <w:rsid w:val="00AC05CE"/>
    <w:rsid w:val="00AC7061"/>
    <w:rsid w:val="00AD03F4"/>
    <w:rsid w:val="00AD4ED6"/>
    <w:rsid w:val="00AD7A70"/>
    <w:rsid w:val="00B0057D"/>
    <w:rsid w:val="00B025CD"/>
    <w:rsid w:val="00B12AB0"/>
    <w:rsid w:val="00B215B9"/>
    <w:rsid w:val="00B3156D"/>
    <w:rsid w:val="00B333EC"/>
    <w:rsid w:val="00B56499"/>
    <w:rsid w:val="00B568F7"/>
    <w:rsid w:val="00B60F45"/>
    <w:rsid w:val="00B613BE"/>
    <w:rsid w:val="00B62794"/>
    <w:rsid w:val="00B67348"/>
    <w:rsid w:val="00B74A02"/>
    <w:rsid w:val="00B8386C"/>
    <w:rsid w:val="00B83D82"/>
    <w:rsid w:val="00B84455"/>
    <w:rsid w:val="00B9194D"/>
    <w:rsid w:val="00B92C29"/>
    <w:rsid w:val="00B94CAA"/>
    <w:rsid w:val="00BA1C0B"/>
    <w:rsid w:val="00BB1117"/>
    <w:rsid w:val="00BB4709"/>
    <w:rsid w:val="00BD4A1A"/>
    <w:rsid w:val="00BD7B20"/>
    <w:rsid w:val="00BE28AA"/>
    <w:rsid w:val="00BE4329"/>
    <w:rsid w:val="00BE44A6"/>
    <w:rsid w:val="00BE5855"/>
    <w:rsid w:val="00BE65EE"/>
    <w:rsid w:val="00BF19E5"/>
    <w:rsid w:val="00BF5087"/>
    <w:rsid w:val="00BF73C3"/>
    <w:rsid w:val="00C00C4F"/>
    <w:rsid w:val="00C00DB2"/>
    <w:rsid w:val="00C17EF3"/>
    <w:rsid w:val="00C2202E"/>
    <w:rsid w:val="00C25F8A"/>
    <w:rsid w:val="00C35EDC"/>
    <w:rsid w:val="00C4167C"/>
    <w:rsid w:val="00C47F14"/>
    <w:rsid w:val="00C47FD2"/>
    <w:rsid w:val="00C51C04"/>
    <w:rsid w:val="00C64F89"/>
    <w:rsid w:val="00C678BE"/>
    <w:rsid w:val="00C70816"/>
    <w:rsid w:val="00C80585"/>
    <w:rsid w:val="00C9087A"/>
    <w:rsid w:val="00C925C2"/>
    <w:rsid w:val="00CA24BD"/>
    <w:rsid w:val="00CB06E2"/>
    <w:rsid w:val="00CB3971"/>
    <w:rsid w:val="00CB3C41"/>
    <w:rsid w:val="00CB6200"/>
    <w:rsid w:val="00CC07B2"/>
    <w:rsid w:val="00CC429D"/>
    <w:rsid w:val="00CC69D5"/>
    <w:rsid w:val="00CD6E15"/>
    <w:rsid w:val="00CE5837"/>
    <w:rsid w:val="00CE70CE"/>
    <w:rsid w:val="00CF2FAA"/>
    <w:rsid w:val="00D02020"/>
    <w:rsid w:val="00D02740"/>
    <w:rsid w:val="00D0293E"/>
    <w:rsid w:val="00D05A90"/>
    <w:rsid w:val="00D070DF"/>
    <w:rsid w:val="00D077A1"/>
    <w:rsid w:val="00D24160"/>
    <w:rsid w:val="00D35A14"/>
    <w:rsid w:val="00D62BD7"/>
    <w:rsid w:val="00D640BE"/>
    <w:rsid w:val="00D67D90"/>
    <w:rsid w:val="00D7045B"/>
    <w:rsid w:val="00D77BCA"/>
    <w:rsid w:val="00D92A5E"/>
    <w:rsid w:val="00D94811"/>
    <w:rsid w:val="00D960D4"/>
    <w:rsid w:val="00DA192E"/>
    <w:rsid w:val="00DB230D"/>
    <w:rsid w:val="00DC51B8"/>
    <w:rsid w:val="00DD1828"/>
    <w:rsid w:val="00DD4971"/>
    <w:rsid w:val="00DD4AFA"/>
    <w:rsid w:val="00DE32EA"/>
    <w:rsid w:val="00DE3BEB"/>
    <w:rsid w:val="00DE520E"/>
    <w:rsid w:val="00DF1E2B"/>
    <w:rsid w:val="00DF3EE3"/>
    <w:rsid w:val="00E024A0"/>
    <w:rsid w:val="00E03AE3"/>
    <w:rsid w:val="00E1073B"/>
    <w:rsid w:val="00E2228B"/>
    <w:rsid w:val="00E22328"/>
    <w:rsid w:val="00E31118"/>
    <w:rsid w:val="00E32AC5"/>
    <w:rsid w:val="00E33E4C"/>
    <w:rsid w:val="00E3565C"/>
    <w:rsid w:val="00E356CD"/>
    <w:rsid w:val="00E40F60"/>
    <w:rsid w:val="00E4276D"/>
    <w:rsid w:val="00E548B8"/>
    <w:rsid w:val="00E6032D"/>
    <w:rsid w:val="00E62968"/>
    <w:rsid w:val="00E72DD3"/>
    <w:rsid w:val="00E77961"/>
    <w:rsid w:val="00EA1F8B"/>
    <w:rsid w:val="00EA3CE8"/>
    <w:rsid w:val="00EB319C"/>
    <w:rsid w:val="00EB7208"/>
    <w:rsid w:val="00EB7E7E"/>
    <w:rsid w:val="00EC4C79"/>
    <w:rsid w:val="00EC6937"/>
    <w:rsid w:val="00EC7F40"/>
    <w:rsid w:val="00ED7200"/>
    <w:rsid w:val="00ED7E23"/>
    <w:rsid w:val="00EE0792"/>
    <w:rsid w:val="00EF1387"/>
    <w:rsid w:val="00F0239D"/>
    <w:rsid w:val="00F03261"/>
    <w:rsid w:val="00F16B66"/>
    <w:rsid w:val="00F25659"/>
    <w:rsid w:val="00F25685"/>
    <w:rsid w:val="00F27281"/>
    <w:rsid w:val="00F3024E"/>
    <w:rsid w:val="00F366F2"/>
    <w:rsid w:val="00F36E4D"/>
    <w:rsid w:val="00F428C0"/>
    <w:rsid w:val="00F46124"/>
    <w:rsid w:val="00F50B01"/>
    <w:rsid w:val="00F56623"/>
    <w:rsid w:val="00F624D3"/>
    <w:rsid w:val="00F67C71"/>
    <w:rsid w:val="00F70129"/>
    <w:rsid w:val="00F70948"/>
    <w:rsid w:val="00F71B0F"/>
    <w:rsid w:val="00F756F1"/>
    <w:rsid w:val="00F8743F"/>
    <w:rsid w:val="00F93CF3"/>
    <w:rsid w:val="00F9567B"/>
    <w:rsid w:val="00F95DC9"/>
    <w:rsid w:val="00FA08F0"/>
    <w:rsid w:val="00FA315F"/>
    <w:rsid w:val="00FA4C6F"/>
    <w:rsid w:val="00FD4F80"/>
    <w:rsid w:val="00FE63D4"/>
    <w:rsid w:val="00FF0E8C"/>
    <w:rsid w:val="00FF1856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62D80"/>
  <w15:docId w15:val="{980A6B37-7AF5-40DC-968E-765BEFE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character" w:styleId="Hyperlink">
    <w:name w:val="Hyperlink"/>
    <w:basedOn w:val="DefaultParagraphFont"/>
    <w:uiPriority w:val="99"/>
    <w:unhideWhenUsed/>
    <w:rsid w:val="008B3C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1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B6A7-13D3-424A-8200-6E1FC5C6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dcterms:created xsi:type="dcterms:W3CDTF">2024-12-24T07:21:00Z</dcterms:created>
  <dcterms:modified xsi:type="dcterms:W3CDTF">2024-12-24T07:21:00Z</dcterms:modified>
</cp:coreProperties>
</file>