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Heading1"/>
        <w:rPr>
          <w:lang w:val="en-GB"/>
        </w:rPr>
      </w:pPr>
      <w:bookmarkStart w:id="0" w:name="_Toc42488069"/>
      <w:r w:rsidRPr="001A2BC4">
        <w:rPr>
          <w:lang w:val="en-GB"/>
        </w:rPr>
        <w:t>A.</w:t>
      </w:r>
      <w:r w:rsidRPr="001A2BC4">
        <w:rPr>
          <w:lang w:val="en-GB"/>
        </w:rPr>
        <w:tab/>
        <w:t>INSTRUCTIONS TO TENDERERS</w:t>
      </w:r>
      <w:bookmarkEnd w:id="0"/>
    </w:p>
    <w:p w14:paraId="4730BCA1" w14:textId="00ADC23A" w:rsidR="0047783A" w:rsidRPr="00473EF1" w:rsidRDefault="0047783A">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495345" w:rsidRPr="00495345">
        <w:rPr>
          <w:rFonts w:ascii="Times New Roman" w:hAnsi="Times New Roman"/>
          <w:szCs w:val="28"/>
          <w:lang w:val="en-GB"/>
        </w:rPr>
        <w:t>RORS00127-PP2 - TD0</w:t>
      </w:r>
      <w:r w:rsidR="002753F3">
        <w:rPr>
          <w:rFonts w:ascii="Times New Roman" w:hAnsi="Times New Roman"/>
          <w:szCs w:val="28"/>
          <w:lang w:val="en-GB"/>
        </w:rPr>
        <w:t>9</w:t>
      </w:r>
    </w:p>
    <w:p w14:paraId="33C13877" w14:textId="77777777"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6DD5541A"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11" w:history="1">
        <w:r w:rsidR="00473EF1" w:rsidRPr="004C063A">
          <w:rPr>
            <w:rStyle w:val="Hyperlink"/>
            <w:rFonts w:ascii="Times New Roman" w:hAnsi="Times New Roman"/>
            <w:sz w:val="22"/>
            <w:szCs w:val="22"/>
          </w:rPr>
          <w:t>https://wikis.ec.europa.eu/display/ExactExternalWiki/ePRAG</w:t>
        </w:r>
      </w:hyperlink>
      <w:r w:rsidRPr="00640E38">
        <w:rPr>
          <w:rFonts w:ascii="Times New Roman" w:hAnsi="Times New Roman"/>
          <w:sz w:val="22"/>
          <w:szCs w:val="22"/>
          <w:lang w:val="en-GB"/>
        </w:rPr>
        <w:t>).</w:t>
      </w:r>
    </w:p>
    <w:p w14:paraId="5CFB45BA" w14:textId="0FB87B78" w:rsidR="0047783A" w:rsidRPr="001A2BC4" w:rsidRDefault="00A633C6" w:rsidP="009956B4">
      <w:pPr>
        <w:pStyle w:val="Heading1"/>
        <w:rPr>
          <w:lang w:val="en-GB"/>
        </w:rPr>
      </w:pPr>
      <w:bookmarkStart w:id="1" w:name="_Toc42488070"/>
      <w:r w:rsidRPr="001A2BC4">
        <w:rPr>
          <w:lang w:val="en-GB"/>
        </w:rPr>
        <w:t xml:space="preserve">1. </w:t>
      </w:r>
      <w:r w:rsidR="0047783A" w:rsidRPr="001A2BC4">
        <w:rPr>
          <w:lang w:val="en-GB"/>
        </w:rPr>
        <w:t>Supplies to be provided</w:t>
      </w:r>
      <w:bookmarkEnd w:id="1"/>
    </w:p>
    <w:p w14:paraId="2EAEE203" w14:textId="77777777" w:rsidR="00C7322E" w:rsidRDefault="0047783A" w:rsidP="00DF7A40">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2AE786" w14:textId="70F1E7C2" w:rsidR="00C7322E" w:rsidRDefault="00C7322E" w:rsidP="0042695A">
      <w:pPr>
        <w:spacing w:before="0" w:after="0"/>
        <w:ind w:left="709" w:hanging="142"/>
        <w:jc w:val="both"/>
        <w:rPr>
          <w:rFonts w:ascii="Times New Roman" w:hAnsi="Times New Roman"/>
          <w:sz w:val="22"/>
        </w:rPr>
      </w:pPr>
      <w:r w:rsidRPr="005352F6">
        <w:rPr>
          <w:rFonts w:ascii="Times New Roman" w:hAnsi="Times New Roman"/>
          <w:sz w:val="22"/>
        </w:rPr>
        <w:t>the supply, delivery,</w:t>
      </w:r>
      <w:r w:rsidR="005352F6" w:rsidRPr="005352F6">
        <w:rPr>
          <w:rFonts w:ascii="Times New Roman" w:hAnsi="Times New Roman"/>
          <w:sz w:val="22"/>
        </w:rPr>
        <w:t xml:space="preserve"> </w:t>
      </w:r>
      <w:r w:rsidRPr="005352F6">
        <w:rPr>
          <w:rFonts w:ascii="Times New Roman" w:hAnsi="Times New Roman"/>
          <w:sz w:val="22"/>
        </w:rPr>
        <w:t>unloading</w:t>
      </w:r>
      <w:r w:rsidR="002753F3">
        <w:rPr>
          <w:rFonts w:ascii="Times New Roman" w:hAnsi="Times New Roman"/>
          <w:sz w:val="22"/>
        </w:rPr>
        <w:t xml:space="preserve"> and</w:t>
      </w:r>
      <w:r w:rsidRPr="005352F6">
        <w:rPr>
          <w:rFonts w:ascii="Times New Roman" w:hAnsi="Times New Roman"/>
          <w:sz w:val="22"/>
        </w:rPr>
        <w:t xml:space="preserve"> siting</w:t>
      </w:r>
      <w:r w:rsidR="006032C2">
        <w:rPr>
          <w:rFonts w:ascii="Times New Roman" w:hAnsi="Times New Roman"/>
          <w:sz w:val="22"/>
        </w:rPr>
        <w:t xml:space="preserve"> </w:t>
      </w:r>
      <w:r w:rsidRPr="005352F6">
        <w:rPr>
          <w:rFonts w:ascii="Times New Roman" w:hAnsi="Times New Roman"/>
          <w:sz w:val="22"/>
        </w:rPr>
        <w:t>of the</w:t>
      </w:r>
      <w:r w:rsidRPr="004F1F8C">
        <w:rPr>
          <w:rFonts w:ascii="Times New Roman" w:hAnsi="Times New Roman"/>
          <w:sz w:val="22"/>
        </w:rPr>
        <w:t xml:space="preserve"> following supplies:</w:t>
      </w:r>
    </w:p>
    <w:p w14:paraId="762487D1" w14:textId="77777777" w:rsidR="005352F6" w:rsidRPr="0042695A" w:rsidRDefault="005352F6" w:rsidP="0042695A">
      <w:pPr>
        <w:spacing w:before="0" w:after="0"/>
        <w:ind w:left="709" w:hanging="142"/>
        <w:jc w:val="both"/>
        <w:rPr>
          <w:highlight w:val="yellow"/>
        </w:rPr>
      </w:pPr>
    </w:p>
    <w:tbl>
      <w:tblPr>
        <w:tblW w:w="0" w:type="auto"/>
        <w:tblInd w:w="550" w:type="dxa"/>
        <w:tblCellMar>
          <w:left w:w="0" w:type="dxa"/>
          <w:right w:w="0" w:type="dxa"/>
        </w:tblCellMar>
        <w:tblLook w:val="04A0" w:firstRow="1" w:lastRow="0" w:firstColumn="1" w:lastColumn="0" w:noHBand="0" w:noVBand="1"/>
      </w:tblPr>
      <w:tblGrid>
        <w:gridCol w:w="810"/>
        <w:gridCol w:w="6480"/>
        <w:gridCol w:w="1060"/>
      </w:tblGrid>
      <w:tr w:rsidR="005352F6" w14:paraId="3B372621" w14:textId="77777777" w:rsidTr="00E83FF8">
        <w:trPr>
          <w:trHeight w:val="349"/>
        </w:trPr>
        <w:tc>
          <w:tcPr>
            <w:tcW w:w="810" w:type="dxa"/>
            <w:tcBorders>
              <w:top w:val="single" w:sz="8" w:space="0" w:color="000000"/>
              <w:left w:val="single" w:sz="8" w:space="0" w:color="000000"/>
              <w:bottom w:val="single" w:sz="8" w:space="0" w:color="000000"/>
              <w:right w:val="single" w:sz="8" w:space="0" w:color="000000"/>
            </w:tcBorders>
            <w:shd w:val="clear" w:color="auto" w:fill="B3B3B3"/>
            <w:vAlign w:val="center"/>
            <w:hideMark/>
          </w:tcPr>
          <w:p w14:paraId="400E2C98" w14:textId="77777777" w:rsidR="005352F6" w:rsidRDefault="005352F6" w:rsidP="00E83FF8">
            <w:pPr>
              <w:spacing w:before="0" w:after="0"/>
              <w:jc w:val="center"/>
              <w:rPr>
                <w:rFonts w:ascii="Times New Roman" w:hAnsi="Times New Roman"/>
                <w:b/>
                <w:color w:val="000000"/>
                <w:sz w:val="22"/>
                <w:szCs w:val="22"/>
              </w:rPr>
            </w:pPr>
            <w:r>
              <w:rPr>
                <w:rFonts w:ascii="Times New Roman" w:hAnsi="Times New Roman"/>
                <w:b/>
                <w:color w:val="000000"/>
                <w:sz w:val="22"/>
                <w:szCs w:val="22"/>
              </w:rPr>
              <w:t>Item No.</w:t>
            </w:r>
          </w:p>
        </w:tc>
        <w:tc>
          <w:tcPr>
            <w:tcW w:w="6480"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7AD1AC7D" w14:textId="77777777" w:rsidR="005352F6" w:rsidRDefault="005352F6" w:rsidP="00E83FF8">
            <w:pPr>
              <w:spacing w:before="0" w:after="0"/>
              <w:rPr>
                <w:rFonts w:ascii="Times New Roman" w:hAnsi="Times New Roman"/>
                <w:b/>
                <w:sz w:val="22"/>
                <w:szCs w:val="22"/>
              </w:rPr>
            </w:pPr>
            <w:r>
              <w:rPr>
                <w:rFonts w:ascii="Times New Roman" w:hAnsi="Times New Roman"/>
                <w:b/>
                <w:color w:val="000000"/>
                <w:sz w:val="22"/>
                <w:szCs w:val="22"/>
              </w:rPr>
              <w:t>Item</w:t>
            </w:r>
          </w:p>
        </w:tc>
        <w:tc>
          <w:tcPr>
            <w:tcW w:w="1060"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hideMark/>
          </w:tcPr>
          <w:p w14:paraId="58D33F7B" w14:textId="77777777" w:rsidR="005352F6" w:rsidRDefault="005352F6" w:rsidP="00E83FF8">
            <w:pPr>
              <w:spacing w:before="0" w:after="0"/>
              <w:jc w:val="center"/>
              <w:rPr>
                <w:rFonts w:ascii="Times New Roman" w:hAnsi="Times New Roman"/>
                <w:b/>
                <w:sz w:val="22"/>
                <w:szCs w:val="22"/>
              </w:rPr>
            </w:pPr>
            <w:r>
              <w:rPr>
                <w:rFonts w:ascii="Times New Roman" w:hAnsi="Times New Roman"/>
                <w:b/>
                <w:color w:val="000000"/>
                <w:sz w:val="22"/>
                <w:szCs w:val="22"/>
              </w:rPr>
              <w:t>Quantity</w:t>
            </w:r>
          </w:p>
        </w:tc>
      </w:tr>
      <w:tr w:rsidR="005352F6" w14:paraId="11652E88" w14:textId="77777777" w:rsidTr="00495345">
        <w:trPr>
          <w:trHeight w:val="169"/>
        </w:trPr>
        <w:tc>
          <w:tcPr>
            <w:tcW w:w="810" w:type="dxa"/>
            <w:tcBorders>
              <w:top w:val="single" w:sz="8" w:space="0" w:color="000000"/>
              <w:left w:val="single" w:sz="8" w:space="0" w:color="000000"/>
              <w:bottom w:val="single" w:sz="8" w:space="0" w:color="000000"/>
              <w:right w:val="single" w:sz="8" w:space="0" w:color="000000"/>
            </w:tcBorders>
            <w:vAlign w:val="center"/>
            <w:hideMark/>
          </w:tcPr>
          <w:p w14:paraId="4DBE8EAA" w14:textId="77777777" w:rsidR="005352F6" w:rsidRDefault="005352F6" w:rsidP="00E83FF8">
            <w:pPr>
              <w:spacing w:before="0" w:after="0"/>
              <w:jc w:val="center"/>
              <w:rPr>
                <w:rFonts w:ascii="Times New Roman" w:hAnsi="Times New Roman"/>
                <w:b/>
                <w:bCs/>
                <w:sz w:val="22"/>
                <w:szCs w:val="22"/>
              </w:rPr>
            </w:pPr>
            <w:r>
              <w:rPr>
                <w:rFonts w:ascii="Times New Roman" w:hAnsi="Times New Roman"/>
                <w:b/>
                <w:bCs/>
                <w:sz w:val="22"/>
                <w:szCs w:val="22"/>
              </w:rPr>
              <w:t>1.</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73DEF6" w14:textId="021CB45F" w:rsidR="005352F6" w:rsidRDefault="00AB1847" w:rsidP="00E83FF8">
            <w:pPr>
              <w:spacing w:before="0" w:after="0"/>
              <w:rPr>
                <w:rFonts w:ascii="Times New Roman" w:hAnsi="Times New Roman"/>
                <w:b/>
                <w:bCs/>
                <w:sz w:val="22"/>
                <w:szCs w:val="22"/>
              </w:rPr>
            </w:pPr>
            <w:r w:rsidRPr="00AB1847">
              <w:rPr>
                <w:rFonts w:ascii="Times New Roman" w:hAnsi="Times New Roman"/>
                <w:b/>
                <w:sz w:val="22"/>
                <w:szCs w:val="22"/>
              </w:rPr>
              <w:t>Pick-up</w:t>
            </w:r>
            <w:r w:rsidR="000D566C">
              <w:rPr>
                <w:rFonts w:ascii="Times New Roman" w:hAnsi="Times New Roman"/>
                <w:b/>
                <w:sz w:val="22"/>
                <w:szCs w:val="22"/>
              </w:rPr>
              <w:t xml:space="preserve"> </w:t>
            </w:r>
            <w:r w:rsidR="000D566C" w:rsidRPr="000D566C">
              <w:rPr>
                <w:rFonts w:ascii="Times New Roman" w:hAnsi="Times New Roman"/>
                <w:b/>
                <w:sz w:val="22"/>
                <w:szCs w:val="22"/>
              </w:rPr>
              <w:t>vehicle</w:t>
            </w: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3D369E" w14:textId="0FFFAD3B" w:rsidR="005352F6" w:rsidRDefault="002E3711" w:rsidP="00E83FF8">
            <w:pPr>
              <w:spacing w:before="0" w:after="0"/>
              <w:jc w:val="center"/>
              <w:rPr>
                <w:rFonts w:ascii="Times New Roman" w:hAnsi="Times New Roman"/>
                <w:b/>
                <w:bCs/>
                <w:color w:val="000000"/>
                <w:sz w:val="22"/>
                <w:szCs w:val="22"/>
              </w:rPr>
            </w:pPr>
            <w:r>
              <w:rPr>
                <w:rFonts w:ascii="Times New Roman" w:hAnsi="Times New Roman"/>
                <w:b/>
                <w:bCs/>
                <w:color w:val="000000"/>
                <w:sz w:val="22"/>
                <w:szCs w:val="22"/>
              </w:rPr>
              <w:t>1</w:t>
            </w:r>
            <w:r w:rsidR="00D01D25">
              <w:rPr>
                <w:rFonts w:ascii="Times New Roman" w:hAnsi="Times New Roman"/>
                <w:b/>
                <w:bCs/>
                <w:color w:val="000000"/>
                <w:sz w:val="22"/>
                <w:szCs w:val="22"/>
              </w:rPr>
              <w:t xml:space="preserve"> Unit</w:t>
            </w:r>
          </w:p>
        </w:tc>
      </w:tr>
    </w:tbl>
    <w:p w14:paraId="09F2D303" w14:textId="1857AEC7" w:rsidR="00CA6263" w:rsidRPr="00F468BF" w:rsidRDefault="00DF5A9A" w:rsidP="00DF5A9A">
      <w:pPr>
        <w:ind w:left="567"/>
        <w:rPr>
          <w:rFonts w:ascii="Times New Roman" w:hAnsi="Times New Roman"/>
          <w:sz w:val="22"/>
        </w:rPr>
      </w:pPr>
      <w:r w:rsidRPr="00473EF1">
        <w:rPr>
          <w:rFonts w:ascii="Times New Roman" w:hAnsi="Times New Roman"/>
          <w:sz w:val="22"/>
        </w:rPr>
        <w:t>T</w:t>
      </w:r>
      <w:r w:rsidR="00CA6263" w:rsidRPr="00473EF1">
        <w:rPr>
          <w:rFonts w:ascii="Times New Roman" w:hAnsi="Times New Roman"/>
          <w:sz w:val="22"/>
        </w:rPr>
        <w:t>o</w:t>
      </w:r>
      <w:r w:rsidR="00495345" w:rsidRPr="00495345">
        <w:t xml:space="preserve"> </w:t>
      </w:r>
      <w:r w:rsidR="00495345" w:rsidRPr="00495345">
        <w:rPr>
          <w:rFonts w:ascii="Times New Roman" w:hAnsi="Times New Roman"/>
          <w:sz w:val="22"/>
        </w:rPr>
        <w:t>Provincial Secretariat for Urban Planning and Environmental Protection, Bulevar Mihajla Pupina 16, 21201 Novi Sad, Republic of Serbia</w:t>
      </w:r>
      <w:r w:rsidR="00CA6263" w:rsidRPr="00473EF1">
        <w:rPr>
          <w:rFonts w:ascii="Times New Roman" w:hAnsi="Times New Roman"/>
          <w:sz w:val="22"/>
        </w:rPr>
        <w:t xml:space="preserve"> DDP</w:t>
      </w:r>
      <w:r w:rsidR="00CA6263" w:rsidRPr="00473EF1">
        <w:rPr>
          <w:rStyle w:val="FootnoteReference"/>
          <w:rFonts w:ascii="Times New Roman" w:hAnsi="Times New Roman"/>
          <w:sz w:val="22"/>
        </w:rPr>
        <w:footnoteReference w:id="1"/>
      </w:r>
      <w:r w:rsidR="00CA6263" w:rsidRPr="00473EF1">
        <w:rPr>
          <w:rFonts w:ascii="Times New Roman" w:hAnsi="Times New Roman"/>
          <w:sz w:val="22"/>
        </w:rPr>
        <w:t xml:space="preserve">, and </w:t>
      </w:r>
      <w:r w:rsidR="00CA6263" w:rsidRPr="00473EF1">
        <w:rPr>
          <w:rFonts w:ascii="Times New Roman" w:hAnsi="Times New Roman"/>
          <w:sz w:val="22"/>
          <w:szCs w:val="22"/>
        </w:rPr>
        <w:t xml:space="preserve">the period of </w:t>
      </w:r>
      <w:r w:rsidR="00CA6263" w:rsidRPr="00F468BF">
        <w:rPr>
          <w:rFonts w:ascii="Times New Roman" w:hAnsi="Times New Roman"/>
          <w:sz w:val="22"/>
          <w:szCs w:val="22"/>
        </w:rPr>
        <w:t>implementation of tasks shall be:</w:t>
      </w:r>
    </w:p>
    <w:p w14:paraId="5B4DD8D0" w14:textId="5AF0A5EE" w:rsidR="005352F6" w:rsidRPr="00F468BF" w:rsidRDefault="00AB1847" w:rsidP="00011AE2">
      <w:pPr>
        <w:spacing w:before="0" w:after="0"/>
        <w:ind w:left="562"/>
        <w:jc w:val="both"/>
        <w:rPr>
          <w:rFonts w:ascii="Times New Roman" w:hAnsi="Times New Roman"/>
          <w:sz w:val="22"/>
        </w:rPr>
      </w:pPr>
      <w:r>
        <w:rPr>
          <w:rFonts w:ascii="Times New Roman" w:hAnsi="Times New Roman"/>
          <w:sz w:val="22"/>
        </w:rPr>
        <w:t>1</w:t>
      </w:r>
      <w:r w:rsidR="00ED6BE8" w:rsidRPr="00495345">
        <w:rPr>
          <w:rFonts w:ascii="Times New Roman" w:hAnsi="Times New Roman"/>
          <w:sz w:val="22"/>
        </w:rPr>
        <w:t xml:space="preserve"> (</w:t>
      </w:r>
      <w:r>
        <w:rPr>
          <w:rFonts w:ascii="Times New Roman" w:hAnsi="Times New Roman"/>
          <w:sz w:val="22"/>
        </w:rPr>
        <w:t>one</w:t>
      </w:r>
      <w:r w:rsidR="00ED6BE8" w:rsidRPr="00495345">
        <w:rPr>
          <w:rFonts w:ascii="Times New Roman" w:hAnsi="Times New Roman"/>
          <w:sz w:val="22"/>
        </w:rPr>
        <w:t>)</w:t>
      </w:r>
      <w:r w:rsidR="008C4F93" w:rsidRPr="00495345">
        <w:rPr>
          <w:rFonts w:ascii="Times New Roman" w:hAnsi="Times New Roman"/>
          <w:sz w:val="22"/>
        </w:rPr>
        <w:t xml:space="preserve"> month</w:t>
      </w:r>
      <w:r w:rsidR="005C5BE0">
        <w:rPr>
          <w:rFonts w:ascii="Times New Roman" w:hAnsi="Times New Roman"/>
          <w:sz w:val="22"/>
        </w:rPr>
        <w:t xml:space="preserve"> </w:t>
      </w:r>
      <w:r w:rsidR="00CA6263" w:rsidRPr="00F468BF">
        <w:rPr>
          <w:rFonts w:ascii="Times New Roman" w:hAnsi="Times New Roman"/>
          <w:sz w:val="22"/>
        </w:rPr>
        <w:t>in accordance with the contract notice/additional information about the contract notice.</w:t>
      </w:r>
    </w:p>
    <w:p w14:paraId="02C6C598" w14:textId="77777777" w:rsidR="00473EF1" w:rsidRPr="00F468BF" w:rsidRDefault="00473EF1" w:rsidP="00DF5A9A">
      <w:pPr>
        <w:spacing w:before="0" w:after="0"/>
        <w:ind w:left="562"/>
        <w:rPr>
          <w:rFonts w:ascii="Times New Roman" w:hAnsi="Times New Roman"/>
          <w:sz w:val="22"/>
          <w:szCs w:val="22"/>
        </w:rPr>
      </w:pPr>
    </w:p>
    <w:p w14:paraId="54906AC6" w14:textId="77777777"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6718BA15" w14:textId="77777777" w:rsidR="005352F6" w:rsidRDefault="0047783A" w:rsidP="005352F6">
      <w:pPr>
        <w:pStyle w:val="Heading2"/>
        <w:keepNext w:val="0"/>
        <w:tabs>
          <w:tab w:val="left" w:pos="709"/>
        </w:tabs>
        <w:ind w:left="567" w:hanging="567"/>
        <w:jc w:val="both"/>
        <w:rPr>
          <w:rFonts w:ascii="Times New Roman" w:hAnsi="Times New Roman"/>
          <w:lang w:val="en-GB"/>
        </w:rPr>
      </w:pPr>
      <w:r w:rsidRPr="00E82463">
        <w:rPr>
          <w:rFonts w:ascii="Times New Roman" w:hAnsi="Times New Roman"/>
          <w:sz w:val="22"/>
          <w:lang w:val="en-GB"/>
        </w:rPr>
        <w:t>1.3</w:t>
      </w:r>
      <w:r w:rsidRPr="00E82463">
        <w:rPr>
          <w:rFonts w:ascii="Times New Roman" w:hAnsi="Times New Roman"/>
          <w:sz w:val="22"/>
          <w:lang w:val="en-GB"/>
        </w:rPr>
        <w:tab/>
      </w:r>
      <w:r w:rsidR="005352F6">
        <w:rPr>
          <w:rFonts w:ascii="Times New Roman" w:hAnsi="Times New Roman"/>
          <w:sz w:val="22"/>
          <w:lang w:val="en-GB"/>
        </w:rPr>
        <w:t>Not applicable</w:t>
      </w:r>
    </w:p>
    <w:p w14:paraId="65FC8B4D" w14:textId="79F92BF8" w:rsidR="0047783A" w:rsidRPr="005352F6" w:rsidRDefault="0047783A" w:rsidP="005352F6">
      <w:pPr>
        <w:pStyle w:val="Heading2"/>
        <w:keepNext w:val="0"/>
        <w:tabs>
          <w:tab w:val="left" w:pos="709"/>
        </w:tabs>
        <w:ind w:left="567" w:hanging="567"/>
        <w:jc w:val="both"/>
        <w:rPr>
          <w:rFonts w:ascii="Times New Roman" w:hAnsi="Times New Roman"/>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6E869C4D" w:rsidR="0047783A" w:rsidRPr="001A2BC4" w:rsidRDefault="00A633C6" w:rsidP="009956B4">
      <w:pPr>
        <w:pStyle w:val="Heading1"/>
        <w:rPr>
          <w:lang w:val="en-GB"/>
        </w:rPr>
      </w:pPr>
      <w:bookmarkStart w:id="4" w:name="_Toc42488071"/>
      <w:r w:rsidRPr="001A2BC4">
        <w:rPr>
          <w:lang w:val="en-GB"/>
        </w:rPr>
        <w:t xml:space="preserve">2. </w:t>
      </w:r>
      <w:r w:rsidR="0047783A" w:rsidRPr="001A2BC4">
        <w:rPr>
          <w:lang w:val="en-GB"/>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A4424B">
        <w:tc>
          <w:tcPr>
            <w:tcW w:w="3969" w:type="dxa"/>
            <w:shd w:val="pct10" w:color="auto" w:fill="FFFFFF"/>
          </w:tcPr>
          <w:p w14:paraId="132820BF" w14:textId="602DE6D6"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w:t>
            </w:r>
          </w:p>
        </w:tc>
        <w:tc>
          <w:tcPr>
            <w:tcW w:w="2410" w:type="dxa"/>
          </w:tcPr>
          <w:p w14:paraId="057CFEC8" w14:textId="22DCB7D2" w:rsidR="00403B25" w:rsidRPr="005352F6" w:rsidRDefault="00403B25" w:rsidP="00403B25">
            <w:pPr>
              <w:jc w:val="center"/>
              <w:rPr>
                <w:rFonts w:ascii="Times New Roman" w:hAnsi="Times New Roman"/>
                <w:sz w:val="22"/>
              </w:rPr>
            </w:pPr>
            <w:r w:rsidRPr="005352F6">
              <w:rPr>
                <w:rFonts w:ascii="Times New Roman" w:hAnsi="Times New Roman"/>
                <w:sz w:val="22"/>
              </w:rPr>
              <w:t>Not applicable</w:t>
            </w:r>
          </w:p>
        </w:tc>
        <w:tc>
          <w:tcPr>
            <w:tcW w:w="2268" w:type="dxa"/>
          </w:tcPr>
          <w:p w14:paraId="2746E565" w14:textId="5A14AF83" w:rsidR="00403B25" w:rsidRPr="005352F6" w:rsidRDefault="00403B25" w:rsidP="00403B25">
            <w:pPr>
              <w:jc w:val="center"/>
              <w:rPr>
                <w:rFonts w:ascii="Times New Roman" w:hAnsi="Times New Roman"/>
                <w:sz w:val="22"/>
              </w:rPr>
            </w:pPr>
            <w:r w:rsidRPr="005352F6">
              <w:rPr>
                <w:rFonts w:ascii="Times New Roman" w:hAnsi="Times New Roman"/>
                <w:sz w:val="22"/>
                <w:szCs w:val="22"/>
              </w:rPr>
              <w:t>Not applicable</w:t>
            </w:r>
          </w:p>
        </w:tc>
      </w:tr>
      <w:tr w:rsidR="00403B25" w:rsidRPr="00E82463" w14:paraId="750EA862" w14:textId="77777777" w:rsidTr="00A4424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lastRenderedPageBreak/>
              <w:t>Deadline for requesting clarifications from the contracting authority</w:t>
            </w:r>
          </w:p>
        </w:tc>
        <w:tc>
          <w:tcPr>
            <w:tcW w:w="2410" w:type="dxa"/>
          </w:tcPr>
          <w:p w14:paraId="011343CC" w14:textId="0325A6CB" w:rsidR="00403B25" w:rsidRPr="00B54847" w:rsidRDefault="00AB1847">
            <w:pPr>
              <w:rPr>
                <w:rFonts w:ascii="Times New Roman" w:hAnsi="Times New Roman"/>
                <w:sz w:val="22"/>
                <w:szCs w:val="22"/>
              </w:rPr>
            </w:pPr>
            <w:r>
              <w:rPr>
                <w:rFonts w:ascii="Times New Roman" w:hAnsi="Times New Roman"/>
                <w:sz w:val="22"/>
                <w:szCs w:val="22"/>
              </w:rPr>
              <w:t>07</w:t>
            </w:r>
            <w:r w:rsidR="001226A0">
              <w:rPr>
                <w:rFonts w:ascii="Times New Roman" w:hAnsi="Times New Roman"/>
                <w:sz w:val="22"/>
                <w:szCs w:val="22"/>
              </w:rPr>
              <w:t>/1</w:t>
            </w:r>
            <w:r w:rsidR="002753F3">
              <w:rPr>
                <w:rFonts w:ascii="Times New Roman" w:hAnsi="Times New Roman"/>
                <w:sz w:val="22"/>
                <w:szCs w:val="22"/>
              </w:rPr>
              <w:t>1</w:t>
            </w:r>
            <w:r w:rsidR="00276537" w:rsidRPr="00B54847">
              <w:rPr>
                <w:rFonts w:ascii="Times New Roman" w:hAnsi="Times New Roman"/>
                <w:sz w:val="22"/>
                <w:szCs w:val="22"/>
              </w:rPr>
              <w:t>/202</w:t>
            </w:r>
            <w:r w:rsidR="002659B1">
              <w:rPr>
                <w:rFonts w:ascii="Times New Roman" w:hAnsi="Times New Roman"/>
                <w:sz w:val="22"/>
                <w:szCs w:val="22"/>
              </w:rPr>
              <w:t>5</w:t>
            </w:r>
          </w:p>
        </w:tc>
        <w:tc>
          <w:tcPr>
            <w:tcW w:w="2268" w:type="dxa"/>
          </w:tcPr>
          <w:p w14:paraId="5B1CA5BA" w14:textId="308844E9" w:rsidR="00403B25" w:rsidRPr="00B10CE2" w:rsidRDefault="008F2DDC" w:rsidP="00403B25">
            <w:pPr>
              <w:jc w:val="center"/>
              <w:rPr>
                <w:rFonts w:ascii="Times New Roman" w:hAnsi="Times New Roman"/>
                <w:sz w:val="22"/>
              </w:rPr>
            </w:pPr>
            <w:r w:rsidRPr="00B10CE2">
              <w:rPr>
                <w:rFonts w:ascii="Times New Roman" w:hAnsi="Times New Roman"/>
                <w:sz w:val="22"/>
              </w:rPr>
              <w:t>13:00 (local time)</w:t>
            </w:r>
          </w:p>
        </w:tc>
      </w:tr>
      <w:tr w:rsidR="00403B25" w:rsidRPr="00E82463" w14:paraId="3722E57B" w14:textId="77777777" w:rsidTr="00A4424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746E4657" w:rsidR="00403B25" w:rsidRPr="00B54847" w:rsidRDefault="000D566C" w:rsidP="00403B25">
            <w:pPr>
              <w:rPr>
                <w:rFonts w:ascii="Times New Roman" w:hAnsi="Times New Roman"/>
                <w:sz w:val="22"/>
                <w:szCs w:val="22"/>
              </w:rPr>
            </w:pPr>
            <w:r>
              <w:rPr>
                <w:rFonts w:ascii="Times New Roman" w:hAnsi="Times New Roman"/>
                <w:sz w:val="22"/>
                <w:szCs w:val="22"/>
              </w:rPr>
              <w:t>20</w:t>
            </w:r>
            <w:r w:rsidR="001226A0">
              <w:rPr>
                <w:rFonts w:ascii="Times New Roman" w:hAnsi="Times New Roman"/>
                <w:sz w:val="22"/>
                <w:szCs w:val="22"/>
              </w:rPr>
              <w:t>/11</w:t>
            </w:r>
            <w:r w:rsidR="00276537" w:rsidRPr="00B54847">
              <w:rPr>
                <w:rFonts w:ascii="Times New Roman" w:hAnsi="Times New Roman"/>
                <w:sz w:val="22"/>
                <w:szCs w:val="22"/>
              </w:rPr>
              <w:t>/2025</w:t>
            </w:r>
          </w:p>
        </w:tc>
        <w:tc>
          <w:tcPr>
            <w:tcW w:w="2268" w:type="dxa"/>
          </w:tcPr>
          <w:p w14:paraId="042C6B74" w14:textId="77777777" w:rsidR="00403B25" w:rsidRPr="007A278B" w:rsidRDefault="00403B25" w:rsidP="00403B25">
            <w:pPr>
              <w:jc w:val="center"/>
              <w:rPr>
                <w:rFonts w:ascii="Times New Roman" w:hAnsi="Times New Roman"/>
                <w:sz w:val="22"/>
              </w:rPr>
            </w:pPr>
            <w:r w:rsidRPr="007A278B">
              <w:rPr>
                <w:rFonts w:ascii="Times New Roman" w:hAnsi="Times New Roman"/>
                <w:sz w:val="22"/>
              </w:rPr>
              <w:t>-</w:t>
            </w:r>
          </w:p>
        </w:tc>
      </w:tr>
      <w:tr w:rsidR="00276537" w:rsidRPr="00E82463" w14:paraId="2C1FA528" w14:textId="77777777" w:rsidTr="00A4424B">
        <w:tc>
          <w:tcPr>
            <w:tcW w:w="3969" w:type="dxa"/>
            <w:shd w:val="pct10" w:color="auto" w:fill="FFFFFF"/>
          </w:tcPr>
          <w:p w14:paraId="50CA7D32" w14:textId="77777777" w:rsidR="00276537" w:rsidRPr="00E82463" w:rsidRDefault="00276537" w:rsidP="00276537">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6FD8382C" w:rsidR="00276537" w:rsidRPr="00B54847" w:rsidRDefault="00AB1847" w:rsidP="00276537">
            <w:pPr>
              <w:rPr>
                <w:rFonts w:ascii="Times New Roman" w:hAnsi="Times New Roman"/>
                <w:sz w:val="22"/>
              </w:rPr>
            </w:pPr>
            <w:r>
              <w:rPr>
                <w:rFonts w:ascii="Times New Roman" w:hAnsi="Times New Roman"/>
                <w:sz w:val="22"/>
                <w:szCs w:val="22"/>
              </w:rPr>
              <w:t>28/11</w:t>
            </w:r>
            <w:r w:rsidR="00276537" w:rsidRPr="00B54847">
              <w:rPr>
                <w:rFonts w:ascii="Times New Roman" w:hAnsi="Times New Roman"/>
                <w:sz w:val="22"/>
                <w:szCs w:val="22"/>
              </w:rPr>
              <w:t>/2025</w:t>
            </w:r>
          </w:p>
        </w:tc>
        <w:tc>
          <w:tcPr>
            <w:tcW w:w="2268" w:type="dxa"/>
          </w:tcPr>
          <w:p w14:paraId="24FA29BB" w14:textId="6443ABB9" w:rsidR="00276537" w:rsidRPr="007A278B" w:rsidRDefault="00276537" w:rsidP="00276537">
            <w:pPr>
              <w:jc w:val="center"/>
              <w:rPr>
                <w:rFonts w:ascii="Times New Roman" w:hAnsi="Times New Roman"/>
                <w:sz w:val="22"/>
              </w:rPr>
            </w:pPr>
            <w:r w:rsidRPr="007A278B">
              <w:rPr>
                <w:rFonts w:ascii="Times New Roman" w:hAnsi="Times New Roman"/>
                <w:sz w:val="22"/>
              </w:rPr>
              <w:t>13:00 (local time)</w:t>
            </w:r>
          </w:p>
        </w:tc>
      </w:tr>
      <w:tr w:rsidR="00276537" w:rsidRPr="00E82463" w14:paraId="0190C6E2" w14:textId="77777777" w:rsidTr="00A4424B">
        <w:tc>
          <w:tcPr>
            <w:tcW w:w="3969" w:type="dxa"/>
            <w:shd w:val="pct10" w:color="auto" w:fill="FFFFFF"/>
          </w:tcPr>
          <w:p w14:paraId="550FBF2E" w14:textId="77777777" w:rsidR="00276537" w:rsidRPr="00E82463" w:rsidRDefault="00276537" w:rsidP="00276537">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516F665F" w:rsidR="00276537" w:rsidRPr="00B54847" w:rsidRDefault="00AB1847" w:rsidP="00276537">
            <w:pPr>
              <w:rPr>
                <w:rFonts w:ascii="Times New Roman" w:hAnsi="Times New Roman"/>
                <w:sz w:val="22"/>
              </w:rPr>
            </w:pPr>
            <w:r>
              <w:rPr>
                <w:rFonts w:ascii="Times New Roman" w:hAnsi="Times New Roman"/>
                <w:sz w:val="22"/>
                <w:szCs w:val="22"/>
              </w:rPr>
              <w:t>01/12</w:t>
            </w:r>
            <w:r w:rsidR="00276537" w:rsidRPr="00B54847">
              <w:rPr>
                <w:rFonts w:ascii="Times New Roman" w:hAnsi="Times New Roman"/>
                <w:sz w:val="22"/>
                <w:szCs w:val="22"/>
              </w:rPr>
              <w:t>/2025</w:t>
            </w:r>
          </w:p>
        </w:tc>
        <w:tc>
          <w:tcPr>
            <w:tcW w:w="2268" w:type="dxa"/>
          </w:tcPr>
          <w:p w14:paraId="4A5D8A55" w14:textId="4E02A11E" w:rsidR="00276537" w:rsidRPr="007A278B" w:rsidRDefault="00276537" w:rsidP="00276537">
            <w:pPr>
              <w:jc w:val="center"/>
              <w:rPr>
                <w:rFonts w:ascii="Times New Roman" w:hAnsi="Times New Roman"/>
                <w:color w:val="FF0000"/>
                <w:sz w:val="22"/>
              </w:rPr>
            </w:pPr>
            <w:r w:rsidRPr="007A278B">
              <w:rPr>
                <w:rFonts w:ascii="Times New Roman" w:hAnsi="Times New Roman"/>
                <w:sz w:val="22"/>
              </w:rPr>
              <w:t>1</w:t>
            </w:r>
            <w:r w:rsidR="00C326A0">
              <w:rPr>
                <w:rFonts w:ascii="Times New Roman" w:hAnsi="Times New Roman"/>
                <w:sz w:val="22"/>
              </w:rPr>
              <w:t>1</w:t>
            </w:r>
            <w:r w:rsidRPr="007A278B">
              <w:rPr>
                <w:rFonts w:ascii="Times New Roman" w:hAnsi="Times New Roman"/>
                <w:sz w:val="22"/>
              </w:rPr>
              <w:t>:00 (local time)</w:t>
            </w:r>
          </w:p>
        </w:tc>
      </w:tr>
      <w:tr w:rsidR="00473EF1" w:rsidRPr="00E82463" w14:paraId="3B4561D8" w14:textId="77777777" w:rsidTr="00A4424B">
        <w:tc>
          <w:tcPr>
            <w:tcW w:w="3969" w:type="dxa"/>
            <w:shd w:val="pct10" w:color="auto" w:fill="FFFFFF"/>
          </w:tcPr>
          <w:p w14:paraId="2A2A8413" w14:textId="77777777" w:rsidR="00473EF1" w:rsidRPr="00E82463" w:rsidRDefault="00473EF1" w:rsidP="00473EF1">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185D4EF3" w:rsidR="00473EF1" w:rsidRPr="00E82463" w:rsidRDefault="002753F3" w:rsidP="00473EF1">
            <w:pPr>
              <w:tabs>
                <w:tab w:val="left" w:pos="851"/>
              </w:tabs>
              <w:rPr>
                <w:rFonts w:ascii="Times New Roman" w:hAnsi="Times New Roman"/>
                <w:sz w:val="22"/>
              </w:rPr>
            </w:pPr>
            <w:r>
              <w:rPr>
                <w:rFonts w:ascii="Times New Roman" w:hAnsi="Times New Roman"/>
                <w:sz w:val="22"/>
              </w:rPr>
              <w:t>December</w:t>
            </w:r>
            <w:r w:rsidR="00473EF1" w:rsidRPr="00176DB3">
              <w:rPr>
                <w:rFonts w:ascii="Times New Roman" w:hAnsi="Times New Roman"/>
                <w:sz w:val="22"/>
              </w:rPr>
              <w:t xml:space="preserve"> 202</w:t>
            </w:r>
            <w:r w:rsidR="00276537">
              <w:rPr>
                <w:rFonts w:ascii="Times New Roman" w:hAnsi="Times New Roman"/>
                <w:sz w:val="22"/>
              </w:rPr>
              <w:t>5</w:t>
            </w:r>
            <w:r w:rsidR="00473EF1" w:rsidRPr="00176DB3">
              <w:rPr>
                <w:rFonts w:ascii="Times New Roman" w:hAnsi="Times New Roman"/>
                <w:sz w:val="22"/>
                <w:vertAlign w:val="superscript"/>
              </w:rPr>
              <w:t>*</w:t>
            </w:r>
          </w:p>
        </w:tc>
        <w:tc>
          <w:tcPr>
            <w:tcW w:w="2268" w:type="dxa"/>
          </w:tcPr>
          <w:p w14:paraId="3D4FD905" w14:textId="77777777" w:rsidR="00473EF1" w:rsidRPr="00E82463" w:rsidRDefault="00473EF1" w:rsidP="00473EF1">
            <w:pPr>
              <w:tabs>
                <w:tab w:val="left" w:pos="851"/>
              </w:tabs>
              <w:jc w:val="center"/>
              <w:rPr>
                <w:rFonts w:ascii="Times New Roman" w:hAnsi="Times New Roman"/>
                <w:sz w:val="22"/>
              </w:rPr>
            </w:pPr>
            <w:r w:rsidRPr="00E82463">
              <w:rPr>
                <w:rFonts w:ascii="Times New Roman" w:hAnsi="Times New Roman"/>
                <w:sz w:val="22"/>
              </w:rPr>
              <w:t>-</w:t>
            </w:r>
          </w:p>
        </w:tc>
      </w:tr>
      <w:tr w:rsidR="00473EF1" w:rsidRPr="00E82463" w14:paraId="6F1F217F" w14:textId="77777777" w:rsidTr="00A4424B">
        <w:tc>
          <w:tcPr>
            <w:tcW w:w="3969" w:type="dxa"/>
            <w:shd w:val="pct10" w:color="auto" w:fill="FFFFFF"/>
          </w:tcPr>
          <w:p w14:paraId="6FC76AD1" w14:textId="77777777" w:rsidR="00473EF1" w:rsidRPr="00E82463" w:rsidRDefault="00473EF1" w:rsidP="00473EF1">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60F4AC87" w:rsidR="00473EF1" w:rsidRPr="00E82463" w:rsidRDefault="002753F3" w:rsidP="00473EF1">
            <w:pPr>
              <w:tabs>
                <w:tab w:val="left" w:pos="851"/>
              </w:tabs>
              <w:rPr>
                <w:rFonts w:ascii="Times New Roman" w:hAnsi="Times New Roman"/>
                <w:sz w:val="22"/>
              </w:rPr>
            </w:pPr>
            <w:r>
              <w:rPr>
                <w:rFonts w:ascii="Times New Roman" w:hAnsi="Times New Roman"/>
                <w:sz w:val="22"/>
              </w:rPr>
              <w:t>December</w:t>
            </w:r>
            <w:r w:rsidR="00473EF1" w:rsidRPr="00176DB3">
              <w:rPr>
                <w:rFonts w:ascii="Times New Roman" w:hAnsi="Times New Roman"/>
                <w:sz w:val="22"/>
              </w:rPr>
              <w:t xml:space="preserve"> 202</w:t>
            </w:r>
            <w:r w:rsidR="00276537">
              <w:rPr>
                <w:rFonts w:ascii="Times New Roman" w:hAnsi="Times New Roman"/>
                <w:sz w:val="22"/>
              </w:rPr>
              <w:t>5</w:t>
            </w:r>
            <w:r w:rsidR="00473EF1" w:rsidRPr="00176DB3">
              <w:rPr>
                <w:rFonts w:ascii="Times New Roman" w:hAnsi="Times New Roman"/>
                <w:sz w:val="22"/>
                <w:vertAlign w:val="superscript"/>
              </w:rPr>
              <w:t>*</w:t>
            </w:r>
          </w:p>
        </w:tc>
        <w:tc>
          <w:tcPr>
            <w:tcW w:w="2268" w:type="dxa"/>
          </w:tcPr>
          <w:p w14:paraId="1D7A125C" w14:textId="77777777" w:rsidR="00473EF1" w:rsidRPr="00E82463" w:rsidRDefault="00473EF1" w:rsidP="00473EF1">
            <w:pPr>
              <w:tabs>
                <w:tab w:val="left" w:pos="851"/>
              </w:tabs>
              <w:jc w:val="center"/>
              <w:rPr>
                <w:rFonts w:ascii="Times New Roman" w:hAnsi="Times New Roman"/>
                <w:sz w:val="22"/>
              </w:rPr>
            </w:pPr>
            <w:r w:rsidRPr="00E82463">
              <w:rPr>
                <w:rFonts w:ascii="Times New Roman" w:hAnsi="Times New Roman"/>
                <w:sz w:val="22"/>
              </w:rPr>
              <w:t>-</w:t>
            </w:r>
          </w:p>
        </w:tc>
      </w:tr>
    </w:tbl>
    <w:p w14:paraId="0C879CB9" w14:textId="0543D6E2" w:rsidR="00F679ED" w:rsidRPr="00E82463" w:rsidRDefault="00F679ED">
      <w:pPr>
        <w:tabs>
          <w:tab w:val="left" w:pos="851"/>
        </w:tabs>
        <w:jc w:val="both"/>
        <w:rPr>
          <w:rFonts w:ascii="Times New Roman" w:hAnsi="Times New Roman"/>
          <w:b/>
        </w:rPr>
      </w:pPr>
      <w:bookmarkStart w:id="5" w:name="_Ref500317541"/>
      <w:r>
        <w:rPr>
          <w:rFonts w:ascii="Times New Roman" w:hAnsi="Times New Roman"/>
          <w:b/>
        </w:rPr>
        <w:t>* Provisional date</w:t>
      </w:r>
    </w:p>
    <w:p w14:paraId="121DD461" w14:textId="1697471D" w:rsidR="0047783A" w:rsidRPr="005352F6" w:rsidRDefault="00A633C6" w:rsidP="005352F6">
      <w:pPr>
        <w:pStyle w:val="Heading1"/>
      </w:pPr>
      <w:bookmarkStart w:id="6" w:name="_Toc42488072"/>
      <w:bookmarkEnd w:id="5"/>
      <w:r>
        <w:t xml:space="preserve">3. </w:t>
      </w:r>
      <w:r w:rsidR="0047783A" w:rsidRPr="00E82463">
        <w:t>Participation</w:t>
      </w:r>
      <w:bookmarkEnd w:id="6"/>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lastRenderedPageBreak/>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23134A1E" w14:textId="50977032" w:rsidR="0069153C" w:rsidRPr="00A4424B" w:rsidRDefault="0047783A" w:rsidP="005352F6">
      <w:pPr>
        <w:pStyle w:val="Heading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4CF95F57" w:rsidR="0047783A" w:rsidRPr="001A2BC4" w:rsidRDefault="00A633C6" w:rsidP="009956B4">
      <w:pPr>
        <w:pStyle w:val="Heading1"/>
        <w:rPr>
          <w:lang w:val="en-GB"/>
        </w:rPr>
      </w:pPr>
      <w:bookmarkStart w:id="7" w:name="_Toc42488073"/>
      <w:r>
        <w:rPr>
          <w:lang w:val="en-GB"/>
        </w:rPr>
        <w:t xml:space="preserve">4. </w:t>
      </w:r>
      <w:r w:rsidR="0047783A" w:rsidRPr="001A2BC4">
        <w:rPr>
          <w:lang w:val="en-GB"/>
        </w:rPr>
        <w:t>Origin</w:t>
      </w:r>
      <w:bookmarkEnd w:id="7"/>
    </w:p>
    <w:p w14:paraId="64F73D35" w14:textId="7A707527" w:rsidR="00BA2D4C" w:rsidRDefault="000A5F76" w:rsidP="008A672F">
      <w:pPr>
        <w:pStyle w:val="paragraph"/>
        <w:spacing w:before="0" w:beforeAutospacing="0" w:after="0" w:afterAutospacing="0"/>
        <w:textAlignment w:val="baseline"/>
        <w:rPr>
          <w:sz w:val="22"/>
          <w:highlight w:val="lightGray"/>
        </w:rPr>
      </w:pPr>
      <w:r w:rsidRPr="001A2BC4">
        <w:rPr>
          <w:sz w:val="22"/>
          <w:lang w:val="en-GB"/>
        </w:rPr>
        <w:t xml:space="preserve">4.1 </w:t>
      </w:r>
      <w:r w:rsidR="008A672F">
        <w:rPr>
          <w:sz w:val="22"/>
          <w:lang w:val="en-GB"/>
        </w:rPr>
        <w:t xml:space="preserve">    </w:t>
      </w:r>
      <w:r w:rsidR="00BA2D4C" w:rsidRPr="008A672F">
        <w:rPr>
          <w:sz w:val="22"/>
        </w:rPr>
        <w:t>All supplies under this contract may originate in any country.</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3314A8D" w:rsidR="0047783A" w:rsidRPr="008A672F" w:rsidRDefault="00A633C6" w:rsidP="009956B4">
      <w:pPr>
        <w:pStyle w:val="Heading1"/>
        <w:rPr>
          <w:lang w:val="en-GB"/>
        </w:rPr>
      </w:pPr>
      <w:bookmarkStart w:id="8" w:name="_Toc42488074"/>
      <w:r w:rsidRPr="008A672F">
        <w:rPr>
          <w:lang w:val="en-GB"/>
        </w:rPr>
        <w:t xml:space="preserve">5. </w:t>
      </w:r>
      <w:r w:rsidR="00BA2D4C" w:rsidRPr="008A672F">
        <w:rPr>
          <w:lang w:val="en-GB"/>
        </w:rPr>
        <w:t>T</w:t>
      </w:r>
      <w:r w:rsidR="0047783A" w:rsidRPr="008A672F">
        <w:rPr>
          <w:lang w:val="en-GB"/>
        </w:rPr>
        <w:t>ype of contract</w:t>
      </w:r>
      <w:bookmarkEnd w:id="8"/>
    </w:p>
    <w:p w14:paraId="623DC3D6" w14:textId="554C2037" w:rsidR="008A672F" w:rsidRPr="001226A0" w:rsidRDefault="008A672F" w:rsidP="001226A0">
      <w:pPr>
        <w:pStyle w:val="Heading2"/>
        <w:keepNext w:val="0"/>
        <w:ind w:left="567"/>
        <w:jc w:val="both"/>
        <w:rPr>
          <w:rFonts w:ascii="Times New Roman" w:hAnsi="Times New Roman"/>
          <w:sz w:val="22"/>
          <w:lang w:val="en-GB"/>
        </w:rPr>
      </w:pPr>
      <w:r>
        <w:rPr>
          <w:rFonts w:ascii="Times New Roman" w:hAnsi="Times New Roman"/>
          <w:sz w:val="22"/>
          <w:lang w:val="en-GB"/>
        </w:rPr>
        <w:t xml:space="preserve">Unit-price </w:t>
      </w:r>
    </w:p>
    <w:p w14:paraId="752C7A3B" w14:textId="56AFA5FE" w:rsidR="0047783A" w:rsidRPr="001A2BC4" w:rsidRDefault="00A633C6" w:rsidP="009956B4">
      <w:pPr>
        <w:pStyle w:val="Heading1"/>
        <w:rPr>
          <w:lang w:val="en-GB"/>
        </w:rPr>
      </w:pPr>
      <w:bookmarkStart w:id="9" w:name="_Toc42488075"/>
      <w:r>
        <w:rPr>
          <w:lang w:val="en-GB"/>
        </w:rPr>
        <w:t xml:space="preserve">6. </w:t>
      </w:r>
      <w:r w:rsidR="0047783A" w:rsidRPr="001A2BC4">
        <w:rPr>
          <w:lang w:val="en-GB"/>
        </w:rPr>
        <w:t>Currency</w:t>
      </w:r>
      <w:bookmarkEnd w:id="9"/>
    </w:p>
    <w:p w14:paraId="465A230B" w14:textId="5E11E039" w:rsidR="0047783A" w:rsidRPr="00E82463" w:rsidRDefault="0047783A" w:rsidP="0047783A">
      <w:pPr>
        <w:pStyle w:val="Heading2"/>
        <w:keepNext w:val="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w:t>
      </w:r>
      <w:r w:rsidRPr="008A672F">
        <w:rPr>
          <w:rFonts w:ascii="Times New Roman" w:hAnsi="Times New Roman"/>
          <w:sz w:val="22"/>
          <w:szCs w:val="22"/>
          <w:lang w:val="en-GB"/>
        </w:rPr>
        <w:t xml:space="preserve">in </w:t>
      </w:r>
      <w:r w:rsidR="000D566C">
        <w:rPr>
          <w:rFonts w:ascii="Times New Roman" w:hAnsi="Times New Roman"/>
          <w:bCs/>
          <w:sz w:val="22"/>
          <w:szCs w:val="22"/>
          <w:lang w:val="en-GB"/>
        </w:rPr>
        <w:t>RSD</w:t>
      </w:r>
      <w:r w:rsidR="005F1EC7" w:rsidRPr="008A672F">
        <w:rPr>
          <w:rFonts w:ascii="Times New Roman" w:hAnsi="Times New Roman"/>
          <w:sz w:val="22"/>
          <w:lang w:val="en-GB"/>
        </w:rPr>
        <w:t>.</w:t>
      </w:r>
    </w:p>
    <w:p w14:paraId="0AFF2F59" w14:textId="6E877222" w:rsidR="0047783A" w:rsidRPr="008A672F" w:rsidRDefault="00A633C6" w:rsidP="009956B4">
      <w:pPr>
        <w:pStyle w:val="Heading1"/>
        <w:rPr>
          <w:lang w:val="en-GB"/>
        </w:rPr>
      </w:pPr>
      <w:bookmarkStart w:id="10" w:name="_Toc42488076"/>
      <w:r w:rsidRPr="008A672F">
        <w:rPr>
          <w:lang w:val="en-GB"/>
        </w:rPr>
        <w:t xml:space="preserve">7. </w:t>
      </w:r>
      <w:r w:rsidR="0047783A" w:rsidRPr="008A672F">
        <w:rPr>
          <w:lang w:val="en-GB"/>
        </w:rPr>
        <w:t>Lots</w:t>
      </w:r>
      <w:bookmarkEnd w:id="10"/>
    </w:p>
    <w:p w14:paraId="684D0204" w14:textId="5F2E4179" w:rsidR="0047783A" w:rsidRPr="001226A0" w:rsidRDefault="001226A0" w:rsidP="001226A0">
      <w:pPr>
        <w:pStyle w:val="Heading2"/>
        <w:keepNext w:val="0"/>
        <w:ind w:left="567"/>
        <w:jc w:val="both"/>
        <w:rPr>
          <w:rFonts w:ascii="Times New Roman" w:hAnsi="Times New Roman"/>
          <w:sz w:val="22"/>
          <w:lang w:val="en-GB"/>
        </w:rPr>
      </w:pPr>
      <w:r w:rsidRPr="001226A0">
        <w:rPr>
          <w:rFonts w:ascii="Times New Roman" w:hAnsi="Times New Roman"/>
          <w:sz w:val="22"/>
          <w:lang w:val="en-GB"/>
        </w:rPr>
        <w:t>This tender procedure is not divided into lots.</w:t>
      </w:r>
      <w:r w:rsidR="00703425" w:rsidRPr="008A672F">
        <w:rPr>
          <w:rFonts w:ascii="Times New Roman" w:hAnsi="Times New Roman"/>
          <w:sz w:val="22"/>
          <w:lang w:val="en-GB"/>
        </w:rPr>
        <w:t xml:space="preserve"> </w:t>
      </w:r>
    </w:p>
    <w:p w14:paraId="6D535022" w14:textId="71C8CD35" w:rsidR="0047783A" w:rsidRPr="001A2BC4" w:rsidRDefault="00A633C6" w:rsidP="009956B4">
      <w:pPr>
        <w:pStyle w:val="Heading1"/>
        <w:rPr>
          <w:lang w:val="en-GB"/>
        </w:rPr>
      </w:pPr>
      <w:bookmarkStart w:id="11" w:name="_Toc42488077"/>
      <w:r>
        <w:rPr>
          <w:lang w:val="en-GB"/>
        </w:rPr>
        <w:t xml:space="preserve">8. </w:t>
      </w:r>
      <w:r w:rsidR="0047783A" w:rsidRPr="001A2BC4">
        <w:rPr>
          <w:lang w:val="en-GB"/>
        </w:rPr>
        <w:t>Period of validity</w:t>
      </w:r>
      <w:bookmarkEnd w:id="11"/>
    </w:p>
    <w:p w14:paraId="30360BC8" w14:textId="77777777"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1A2BC4" w:rsidRDefault="00A633C6" w:rsidP="009956B4">
      <w:pPr>
        <w:pStyle w:val="Heading1"/>
        <w:rPr>
          <w:lang w:val="en-GB"/>
        </w:rPr>
      </w:pPr>
      <w:bookmarkStart w:id="12" w:name="_Toc42488078"/>
      <w:bookmarkStart w:id="13" w:name="_Ref500330462"/>
      <w:r>
        <w:rPr>
          <w:lang w:val="en-GB"/>
        </w:rPr>
        <w:lastRenderedPageBreak/>
        <w:t xml:space="preserve">9. </w:t>
      </w:r>
      <w:r w:rsidR="0047783A" w:rsidRPr="001A2BC4">
        <w:rPr>
          <w:lang w:val="en-GB"/>
        </w:rPr>
        <w:t xml:space="preserve">Language of </w:t>
      </w:r>
      <w:bookmarkEnd w:id="12"/>
      <w:r w:rsidR="009A3A53" w:rsidRPr="001A2BC4">
        <w:rPr>
          <w:lang w:val="en-GB"/>
        </w:rPr>
        <w:t>tenders</w:t>
      </w:r>
    </w:p>
    <w:bookmarkEnd w:id="13"/>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1A2BC4" w:rsidRDefault="00A633C6" w:rsidP="009956B4">
      <w:pPr>
        <w:pStyle w:val="Heading1"/>
        <w:rPr>
          <w:lang w:val="en-GB"/>
        </w:rPr>
      </w:pPr>
      <w:bookmarkStart w:id="14" w:name="_Toc42488079"/>
      <w:r>
        <w:rPr>
          <w:lang w:val="en-GB"/>
        </w:rPr>
        <w:t xml:space="preserve">10. </w:t>
      </w:r>
      <w:r w:rsidR="0047783A" w:rsidRPr="001A2BC4">
        <w:rPr>
          <w:lang w:val="en-GB"/>
        </w:rPr>
        <w:t>Submission of tenders</w:t>
      </w:r>
      <w:bookmarkEnd w:id="14"/>
    </w:p>
    <w:p w14:paraId="6D76BC33" w14:textId="240F71BA" w:rsidR="0047783A" w:rsidRPr="008A672F" w:rsidRDefault="0047783A" w:rsidP="008A672F">
      <w:pPr>
        <w:ind w:left="567" w:hanging="567"/>
        <w:rPr>
          <w:rFonts w:ascii="Times New Roman" w:hAnsi="Times New Roman"/>
          <w:sz w:val="22"/>
        </w:rPr>
      </w:pPr>
      <w:bookmarkStart w:id="15" w:name="_Ref500326737"/>
      <w:r w:rsidRPr="008A672F">
        <w:rPr>
          <w:rFonts w:ascii="Times New Roman" w:hAnsi="Times New Roman"/>
          <w:sz w:val="22"/>
        </w:rPr>
        <w:t>10.1</w:t>
      </w:r>
      <w:r w:rsidR="002E4C1B" w:rsidRPr="008A672F">
        <w:rPr>
          <w:rFonts w:ascii="Times New Roman" w:hAnsi="Times New Roman"/>
          <w:sz w:val="22"/>
        </w:rPr>
        <w:t xml:space="preserve"> </w:t>
      </w:r>
      <w:r w:rsidR="008A672F" w:rsidRPr="008A672F">
        <w:rPr>
          <w:rFonts w:ascii="Times New Roman" w:hAnsi="Times New Roman"/>
          <w:sz w:val="22"/>
        </w:rPr>
        <w:t xml:space="preserve">  </w:t>
      </w:r>
      <w:r w:rsidRPr="008A672F">
        <w:rPr>
          <w:rFonts w:ascii="Times New Roman" w:hAnsi="Times New Roman"/>
          <w:b/>
          <w:sz w:val="22"/>
        </w:rPr>
        <w:t>T</w:t>
      </w:r>
      <w:r w:rsidR="00803383" w:rsidRPr="008A672F">
        <w:rPr>
          <w:rFonts w:ascii="Times New Roman" w:hAnsi="Times New Roman"/>
          <w:b/>
          <w:sz w:val="22"/>
        </w:rPr>
        <w:t>enders must be sent to t</w:t>
      </w:r>
      <w:r w:rsidR="00D62067" w:rsidRPr="008A672F">
        <w:rPr>
          <w:rFonts w:ascii="Times New Roman" w:hAnsi="Times New Roman"/>
          <w:b/>
          <w:sz w:val="22"/>
        </w:rPr>
        <w:t xml:space="preserve">he </w:t>
      </w:r>
      <w:r w:rsidR="005C1201" w:rsidRPr="008A672F">
        <w:rPr>
          <w:rFonts w:ascii="Times New Roman" w:hAnsi="Times New Roman"/>
          <w:b/>
          <w:sz w:val="22"/>
        </w:rPr>
        <w:t>c</w:t>
      </w:r>
      <w:r w:rsidR="00D62067" w:rsidRPr="008A672F">
        <w:rPr>
          <w:rFonts w:ascii="Times New Roman" w:hAnsi="Times New Roman"/>
          <w:b/>
          <w:sz w:val="22"/>
        </w:rPr>
        <w:t xml:space="preserve">ontracting </w:t>
      </w:r>
      <w:r w:rsidR="005C1201" w:rsidRPr="008A672F">
        <w:rPr>
          <w:rFonts w:ascii="Times New Roman" w:hAnsi="Times New Roman"/>
          <w:b/>
          <w:sz w:val="22"/>
        </w:rPr>
        <w:t>a</w:t>
      </w:r>
      <w:r w:rsidR="00D62067" w:rsidRPr="008A672F">
        <w:rPr>
          <w:rFonts w:ascii="Times New Roman" w:hAnsi="Times New Roman"/>
          <w:b/>
          <w:sz w:val="22"/>
        </w:rPr>
        <w:t xml:space="preserve">uthority </w:t>
      </w:r>
      <w:r w:rsidRPr="008A672F">
        <w:rPr>
          <w:rFonts w:ascii="Times New Roman" w:hAnsi="Times New Roman"/>
          <w:b/>
          <w:sz w:val="22"/>
        </w:rPr>
        <w:t xml:space="preserve">before the deadline specified in </w:t>
      </w:r>
      <w:r w:rsidR="00587BC9" w:rsidRPr="008A672F">
        <w:rPr>
          <w:rFonts w:ascii="Times New Roman" w:hAnsi="Times New Roman"/>
          <w:b/>
          <w:sz w:val="22"/>
        </w:rPr>
        <w:t>Contract Notice</w:t>
      </w:r>
      <w:r w:rsidRPr="008A672F">
        <w:rPr>
          <w:rFonts w:ascii="Times New Roman" w:hAnsi="Times New Roman"/>
          <w:b/>
          <w:sz w:val="22"/>
        </w:rPr>
        <w:t>.</w:t>
      </w:r>
      <w:r w:rsidRPr="008A672F">
        <w:rPr>
          <w:rFonts w:ascii="Times New Roman" w:hAnsi="Times New Roman"/>
          <w:sz w:val="22"/>
        </w:rPr>
        <w:t xml:space="preserve"> They must include all the documents specified in point 11 of these Instructions and be sent to the following address:</w:t>
      </w:r>
    </w:p>
    <w:bookmarkEnd w:id="15"/>
    <w:p w14:paraId="07C28BBA" w14:textId="0A9D469F" w:rsidR="008C4F93" w:rsidRPr="008A672F" w:rsidRDefault="001226A0" w:rsidP="008C4F93">
      <w:pPr>
        <w:pStyle w:val="Blockquote"/>
        <w:keepNext/>
        <w:keepLines/>
        <w:spacing w:before="120" w:after="120"/>
        <w:jc w:val="center"/>
        <w:rPr>
          <w:rFonts w:ascii="Times New Roman" w:hAnsi="Times New Roman"/>
          <w:sz w:val="22"/>
          <w:szCs w:val="22"/>
          <w:highlight w:val="yellow"/>
        </w:rPr>
      </w:pPr>
      <w:r w:rsidRPr="001226A0">
        <w:rPr>
          <w:rFonts w:ascii="Times New Roman" w:hAnsi="Times New Roman"/>
          <w:b/>
          <w:bCs/>
          <w:sz w:val="22"/>
          <w:szCs w:val="22"/>
        </w:rPr>
        <w:t>Provincial Secretariat for Urban Planning and Environmental Protection, Bulevar Mihajla Pupina, 16, 21101 Novi Sad, Republic of Serbia</w:t>
      </w:r>
    </w:p>
    <w:p w14:paraId="4D7705AF" w14:textId="77777777" w:rsidR="008C4F93" w:rsidRPr="008A672F" w:rsidRDefault="008C4F93" w:rsidP="008C4F93">
      <w:pPr>
        <w:ind w:left="567"/>
        <w:jc w:val="both"/>
        <w:rPr>
          <w:rFonts w:ascii="Times New Roman" w:hAnsi="Times New Roman"/>
          <w:sz w:val="22"/>
          <w:szCs w:val="22"/>
        </w:rPr>
      </w:pPr>
      <w:r w:rsidRPr="008A672F">
        <w:rPr>
          <w:rFonts w:ascii="Times New Roman" w:hAnsi="Times New Roman"/>
          <w:sz w:val="22"/>
          <w:szCs w:val="22"/>
        </w:rPr>
        <w:t>If the tenders are hand delivered they should be delivered to the following address:</w:t>
      </w:r>
    </w:p>
    <w:p w14:paraId="30365456" w14:textId="5613939D" w:rsidR="008C4F93" w:rsidRPr="008A672F" w:rsidRDefault="001226A0" w:rsidP="008C4F93">
      <w:pPr>
        <w:pStyle w:val="Blockquote"/>
        <w:spacing w:before="120" w:after="120"/>
        <w:jc w:val="center"/>
        <w:rPr>
          <w:rFonts w:ascii="Times New Roman" w:hAnsi="Times New Roman"/>
          <w:b/>
          <w:bCs/>
          <w:sz w:val="22"/>
          <w:szCs w:val="22"/>
        </w:rPr>
      </w:pPr>
      <w:r w:rsidRPr="001226A0">
        <w:rPr>
          <w:rFonts w:ascii="Times New Roman" w:hAnsi="Times New Roman"/>
          <w:b/>
          <w:bCs/>
          <w:sz w:val="22"/>
          <w:szCs w:val="22"/>
        </w:rPr>
        <w:t>Provincial Secretariat for Urban Planning and Environmental Protection, Bulevar Mihajla Pupina, 16, 21101 Novi Sad, Republic of Serbia</w:t>
      </w:r>
    </w:p>
    <w:p w14:paraId="2F4E4461" w14:textId="77777777" w:rsidR="008C4F93" w:rsidRPr="008A672F" w:rsidRDefault="008C4F93" w:rsidP="008C4F93">
      <w:pPr>
        <w:spacing w:before="0"/>
        <w:ind w:left="567"/>
        <w:jc w:val="center"/>
        <w:rPr>
          <w:rFonts w:ascii="Times New Roman" w:hAnsi="Times New Roman"/>
          <w:sz w:val="22"/>
          <w:szCs w:val="22"/>
        </w:rPr>
      </w:pPr>
      <w:r w:rsidRPr="008A672F">
        <w:rPr>
          <w:rFonts w:ascii="Times New Roman" w:hAnsi="Times New Roman"/>
          <w:sz w:val="22"/>
          <w:szCs w:val="22"/>
        </w:rPr>
        <w:t>Opening hours: from</w:t>
      </w:r>
      <w:r w:rsidRPr="008A672F">
        <w:rPr>
          <w:rFonts w:ascii="Times New Roman" w:hAnsi="Times New Roman"/>
          <w:sz w:val="22"/>
          <w:szCs w:val="22"/>
          <w:lang w:val="sr-Cyrl-RS"/>
        </w:rPr>
        <w:t xml:space="preserve"> </w:t>
      </w:r>
      <w:r w:rsidRPr="008A672F">
        <w:rPr>
          <w:rStyle w:val="Emphasis"/>
          <w:rFonts w:ascii="Times New Roman" w:hAnsi="Times New Roman"/>
          <w:i w:val="0"/>
          <w:iCs/>
          <w:sz w:val="22"/>
          <w:szCs w:val="22"/>
        </w:rPr>
        <w:t>07.</w:t>
      </w:r>
      <w:r>
        <w:rPr>
          <w:rStyle w:val="Emphasis"/>
          <w:rFonts w:ascii="Times New Roman" w:hAnsi="Times New Roman"/>
          <w:i w:val="0"/>
          <w:iCs/>
          <w:sz w:val="22"/>
          <w:szCs w:val="22"/>
        </w:rPr>
        <w:t>0</w:t>
      </w:r>
      <w:r w:rsidRPr="008A672F">
        <w:rPr>
          <w:rStyle w:val="Emphasis"/>
          <w:rFonts w:ascii="Times New Roman" w:hAnsi="Times New Roman"/>
          <w:i w:val="0"/>
          <w:iCs/>
          <w:sz w:val="22"/>
          <w:szCs w:val="22"/>
        </w:rPr>
        <w:t>0h till 15.</w:t>
      </w:r>
      <w:r>
        <w:rPr>
          <w:rStyle w:val="Emphasis"/>
          <w:rFonts w:ascii="Times New Roman" w:hAnsi="Times New Roman"/>
          <w:i w:val="0"/>
          <w:iCs/>
          <w:sz w:val="22"/>
          <w:szCs w:val="22"/>
        </w:rPr>
        <w:t>0</w:t>
      </w:r>
      <w:r w:rsidRPr="008A672F">
        <w:rPr>
          <w:rStyle w:val="Emphasis"/>
          <w:rFonts w:ascii="Times New Roman" w:hAnsi="Times New Roman"/>
          <w:i w:val="0"/>
          <w:iCs/>
          <w:sz w:val="22"/>
          <w:szCs w:val="22"/>
        </w:rPr>
        <w:t>0h (local time)</w:t>
      </w:r>
    </w:p>
    <w:p w14:paraId="711DD029" w14:textId="7A6A0903" w:rsidR="0047783A" w:rsidRPr="008A672F" w:rsidRDefault="0047783A" w:rsidP="008A672F">
      <w:pPr>
        <w:spacing w:before="0"/>
        <w:ind w:left="567"/>
        <w:jc w:val="center"/>
        <w:rPr>
          <w:rFonts w:ascii="Times New Roman" w:hAnsi="Times New Roman"/>
          <w:sz w:val="22"/>
          <w:szCs w:val="22"/>
        </w:rPr>
      </w:pPr>
    </w:p>
    <w:p w14:paraId="1FC7BA45" w14:textId="77777777" w:rsidR="0047783A" w:rsidRPr="008A672F" w:rsidRDefault="0047783A" w:rsidP="009956B4">
      <w:pPr>
        <w:ind w:left="567"/>
        <w:jc w:val="both"/>
        <w:rPr>
          <w:rFonts w:ascii="Times New Roman" w:hAnsi="Times New Roman"/>
          <w:sz w:val="22"/>
        </w:rPr>
      </w:pPr>
      <w:r w:rsidRPr="008A672F">
        <w:rPr>
          <w:rFonts w:ascii="Times New Roman" w:hAnsi="Times New Roman"/>
          <w:sz w:val="22"/>
        </w:rPr>
        <w:t>Tenders must comply with the following conditions:</w:t>
      </w:r>
    </w:p>
    <w:p w14:paraId="4C41A8D4" w14:textId="587CABED" w:rsidR="0047783A" w:rsidRPr="008A672F" w:rsidRDefault="0047783A" w:rsidP="000D1B17">
      <w:pPr>
        <w:pStyle w:val="Heading2"/>
        <w:ind w:left="567" w:hanging="567"/>
        <w:jc w:val="both"/>
        <w:rPr>
          <w:rFonts w:ascii="Times New Roman" w:hAnsi="Times New Roman"/>
          <w:lang w:val="en-GB"/>
        </w:rPr>
      </w:pPr>
      <w:bookmarkStart w:id="16" w:name="_Ref500330141"/>
      <w:r w:rsidRPr="008A672F">
        <w:rPr>
          <w:rFonts w:ascii="Times New Roman" w:hAnsi="Times New Roman"/>
          <w:sz w:val="22"/>
          <w:lang w:val="en-GB"/>
        </w:rPr>
        <w:t>10.</w:t>
      </w:r>
      <w:r w:rsidR="00F953EB" w:rsidRPr="008A672F">
        <w:rPr>
          <w:rFonts w:ascii="Times New Roman" w:hAnsi="Times New Roman"/>
          <w:sz w:val="22"/>
          <w:lang w:val="en-GB"/>
        </w:rPr>
        <w:t>2</w:t>
      </w:r>
      <w:r w:rsidRPr="008A672F">
        <w:rPr>
          <w:rFonts w:ascii="Times New Roman" w:hAnsi="Times New Roman"/>
          <w:sz w:val="22"/>
          <w:lang w:val="en-GB"/>
        </w:rPr>
        <w:tab/>
      </w:r>
      <w:r w:rsidR="008A672F" w:rsidRPr="008A672F">
        <w:rPr>
          <w:rFonts w:ascii="Times New Roman" w:hAnsi="Times New Roman"/>
          <w:sz w:val="22"/>
          <w:lang w:val="en-US"/>
        </w:rPr>
        <w:t xml:space="preserve">All tenders must be submitted in one original, marked </w:t>
      </w:r>
      <w:r w:rsidR="008A672F" w:rsidRPr="008A672F">
        <w:rPr>
          <w:rFonts w:ascii="Times New Roman" w:hAnsi="Times New Roman"/>
          <w:b/>
          <w:bCs/>
          <w:sz w:val="22"/>
          <w:lang w:val="en-US"/>
        </w:rPr>
        <w:t>“Original”</w:t>
      </w:r>
      <w:r w:rsidR="008A672F" w:rsidRPr="008A672F">
        <w:rPr>
          <w:rFonts w:ascii="Times New Roman" w:hAnsi="Times New Roman"/>
          <w:sz w:val="22"/>
          <w:lang w:val="en-US"/>
        </w:rPr>
        <w:t xml:space="preserve">, and 3 (three) copies signed in the same way as the original and marked </w:t>
      </w:r>
      <w:r w:rsidR="008A672F" w:rsidRPr="008A672F">
        <w:rPr>
          <w:rFonts w:ascii="Times New Roman" w:hAnsi="Times New Roman"/>
          <w:b/>
          <w:bCs/>
          <w:sz w:val="22"/>
          <w:lang w:val="en-US"/>
        </w:rPr>
        <w:t>“Copy”</w:t>
      </w:r>
      <w:r w:rsidR="008A672F" w:rsidRPr="008A672F">
        <w:rPr>
          <w:rFonts w:ascii="Times New Roman" w:hAnsi="Times New Roman"/>
          <w:sz w:val="22"/>
          <w:lang w:val="en-US"/>
        </w:rPr>
        <w:t>. An electronic version on USB Stick should be provided.</w:t>
      </w:r>
    </w:p>
    <w:bookmarkEnd w:id="16"/>
    <w:p w14:paraId="0DF6BCF6" w14:textId="73D474D5" w:rsidR="0086759F" w:rsidRPr="008A672F" w:rsidRDefault="0047783A" w:rsidP="000D1B17">
      <w:pPr>
        <w:pStyle w:val="Heading2"/>
        <w:ind w:left="567" w:hanging="567"/>
        <w:jc w:val="both"/>
        <w:rPr>
          <w:rFonts w:ascii="Times New Roman" w:hAnsi="Times New Roman"/>
          <w:sz w:val="22"/>
          <w:lang w:val="en-GB"/>
        </w:rPr>
      </w:pPr>
      <w:r w:rsidRPr="008A672F">
        <w:rPr>
          <w:rFonts w:ascii="Times New Roman" w:hAnsi="Times New Roman"/>
          <w:sz w:val="22"/>
          <w:lang w:val="en-GB"/>
        </w:rPr>
        <w:t>10.</w:t>
      </w:r>
      <w:r w:rsidR="00F953EB" w:rsidRPr="008A672F">
        <w:rPr>
          <w:rFonts w:ascii="Times New Roman" w:hAnsi="Times New Roman"/>
          <w:sz w:val="22"/>
          <w:lang w:val="en-GB"/>
        </w:rPr>
        <w:t>3</w:t>
      </w:r>
      <w:r w:rsidRPr="008A672F">
        <w:rPr>
          <w:rFonts w:ascii="Times New Roman" w:hAnsi="Times New Roman"/>
          <w:sz w:val="22"/>
          <w:lang w:val="en-GB"/>
        </w:rPr>
        <w:tab/>
      </w:r>
      <w:r w:rsidR="003F2375" w:rsidRPr="008A672F">
        <w:rPr>
          <w:rFonts w:ascii="Times New Roman" w:hAnsi="Times New Roman"/>
          <w:sz w:val="22"/>
          <w:lang w:val="en-GB"/>
        </w:rPr>
        <w:t>The tenders should be submitted:</w:t>
      </w:r>
    </w:p>
    <w:p w14:paraId="4DBBEB14" w14:textId="77777777" w:rsidR="0086759F" w:rsidRPr="008A672F" w:rsidRDefault="0086759F" w:rsidP="000D1B17">
      <w:pPr>
        <w:pStyle w:val="Heading2"/>
        <w:ind w:left="567" w:hanging="567"/>
        <w:jc w:val="both"/>
        <w:rPr>
          <w:rFonts w:ascii="Times New Roman" w:hAnsi="Times New Roman"/>
          <w:sz w:val="22"/>
          <w:lang w:val="en-GB"/>
        </w:rPr>
      </w:pPr>
      <w:r w:rsidRPr="008A672F">
        <w:rPr>
          <w:rFonts w:ascii="Times New Roman" w:hAnsi="Times New Roman"/>
          <w:sz w:val="22"/>
          <w:lang w:val="en-GB"/>
        </w:rPr>
        <w:tab/>
        <w:t>(a) either by post or by courier service, in which case the evidence shall be constituted by the postmark or the date of the deposit slip</w:t>
      </w:r>
      <w:r w:rsidR="00803383" w:rsidRPr="008A672F">
        <w:rPr>
          <w:rStyle w:val="FootnoteReference"/>
          <w:rFonts w:ascii="Times New Roman" w:hAnsi="Times New Roman"/>
          <w:sz w:val="22"/>
          <w:szCs w:val="22"/>
          <w:lang w:val="en-US"/>
        </w:rPr>
        <w:footnoteReference w:id="3"/>
      </w:r>
    </w:p>
    <w:p w14:paraId="3D364392" w14:textId="77777777" w:rsidR="0086759F" w:rsidRPr="008A672F" w:rsidRDefault="0086759F" w:rsidP="000D1B17">
      <w:pPr>
        <w:pStyle w:val="Heading2"/>
        <w:ind w:left="567" w:hanging="567"/>
        <w:jc w:val="both"/>
        <w:rPr>
          <w:rFonts w:ascii="Times New Roman" w:hAnsi="Times New Roman"/>
          <w:sz w:val="22"/>
          <w:lang w:val="en-GB"/>
        </w:rPr>
      </w:pPr>
      <w:r w:rsidRPr="008A672F">
        <w:rPr>
          <w:rFonts w:ascii="Times New Roman" w:hAnsi="Times New Roman"/>
          <w:sz w:val="22"/>
          <w:lang w:val="en-GB"/>
        </w:rPr>
        <w:tab/>
        <w:t xml:space="preserve">(b) </w:t>
      </w:r>
      <w:r w:rsidR="00740F25" w:rsidRPr="008A672F">
        <w:rPr>
          <w:rFonts w:ascii="Times New Roman" w:hAnsi="Times New Roman"/>
          <w:sz w:val="22"/>
          <w:lang w:val="en-GB"/>
        </w:rPr>
        <w:t xml:space="preserve">or </w:t>
      </w:r>
      <w:r w:rsidRPr="008A672F">
        <w:rPr>
          <w:rFonts w:ascii="Times New Roman" w:hAnsi="Times New Roman"/>
          <w:sz w:val="22"/>
          <w:lang w:val="en-GB"/>
        </w:rPr>
        <w:t xml:space="preserve">by hand-delivery to the premises of the </w:t>
      </w:r>
      <w:r w:rsidR="006E4A76" w:rsidRPr="008A672F">
        <w:rPr>
          <w:rFonts w:ascii="Times New Roman" w:hAnsi="Times New Roman"/>
          <w:sz w:val="22"/>
          <w:lang w:val="en-GB"/>
        </w:rPr>
        <w:t>contracting authority</w:t>
      </w:r>
      <w:r w:rsidRPr="008A672F">
        <w:rPr>
          <w:rFonts w:ascii="Times New Roman" w:hAnsi="Times New Roman"/>
          <w:sz w:val="22"/>
          <w:lang w:val="en-GB"/>
        </w:rPr>
        <w:t xml:space="preserve"> by the participant in person or by an agent, in which case the evidence shall be constituted by </w:t>
      </w:r>
      <w:r w:rsidR="006E4A76" w:rsidRPr="008A672F">
        <w:rPr>
          <w:rFonts w:ascii="Times New Roman" w:hAnsi="Times New Roman"/>
          <w:sz w:val="22"/>
          <w:lang w:val="en-GB"/>
        </w:rPr>
        <w:t xml:space="preserve">the </w:t>
      </w:r>
      <w:r w:rsidRPr="008A672F">
        <w:rPr>
          <w:rFonts w:ascii="Times New Roman" w:hAnsi="Times New Roman"/>
          <w:sz w:val="22"/>
          <w:lang w:val="en-GB"/>
        </w:rPr>
        <w:t>acknowledgment of receipt.</w:t>
      </w:r>
      <w:r w:rsidR="0047783A" w:rsidRPr="008A672F">
        <w:rPr>
          <w:rFonts w:ascii="Times New Roman" w:hAnsi="Times New Roman"/>
          <w:sz w:val="22"/>
          <w:lang w:val="en-GB"/>
        </w:rPr>
        <w:t xml:space="preserve"> </w:t>
      </w:r>
    </w:p>
    <w:p w14:paraId="65CB01B1" w14:textId="389307B7" w:rsidR="008B2A9C" w:rsidRPr="008A672F" w:rsidRDefault="008B2A9C"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8A672F">
        <w:rPr>
          <w:rFonts w:ascii="Times New Roman" w:hAnsi="Times New Roman"/>
          <w:sz w:val="22"/>
          <w:lang w:val="en-GB"/>
        </w:rPr>
        <w:t xml:space="preserve"> </w:t>
      </w:r>
      <w:r w:rsidRPr="008A672F">
        <w:rPr>
          <w:rFonts w:ascii="Times New Roman" w:hAnsi="Times New Roman"/>
          <w:sz w:val="22"/>
          <w:lang w:val="en-GB"/>
        </w:rPr>
        <w:t>or jeopardise decisions already taken and notified.</w:t>
      </w:r>
    </w:p>
    <w:p w14:paraId="380CD258" w14:textId="221C1B16" w:rsidR="0047783A" w:rsidRPr="008A672F" w:rsidRDefault="0047783A" w:rsidP="009956B4">
      <w:pPr>
        <w:pStyle w:val="Heading2"/>
        <w:keepNext w:val="0"/>
        <w:ind w:left="567" w:hanging="567"/>
        <w:jc w:val="both"/>
        <w:rPr>
          <w:rFonts w:ascii="Times New Roman" w:hAnsi="Times New Roman"/>
          <w:sz w:val="22"/>
          <w:lang w:val="en-IE"/>
        </w:rPr>
      </w:pPr>
      <w:r w:rsidRPr="008A672F">
        <w:rPr>
          <w:rFonts w:ascii="Times New Roman" w:hAnsi="Times New Roman"/>
          <w:sz w:val="22"/>
          <w:lang w:val="en-GB"/>
        </w:rPr>
        <w:t>10.</w:t>
      </w:r>
      <w:r w:rsidR="00F953EB" w:rsidRPr="008A672F">
        <w:rPr>
          <w:rFonts w:ascii="Times New Roman" w:hAnsi="Times New Roman"/>
          <w:sz w:val="22"/>
          <w:lang w:val="en-GB"/>
        </w:rPr>
        <w:t>4</w:t>
      </w:r>
      <w:r w:rsidRPr="008A672F">
        <w:rPr>
          <w:rFonts w:ascii="Times New Roman" w:hAnsi="Times New Roman"/>
          <w:sz w:val="22"/>
          <w:lang w:val="en-GB"/>
        </w:rPr>
        <w:tab/>
        <w:t>All tenders, including annexes and all supporting documents, must be submitted in a sealed envelope bearing only:</w:t>
      </w:r>
    </w:p>
    <w:p w14:paraId="5EEE5B26" w14:textId="77777777"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lastRenderedPageBreak/>
        <w:t>a)</w:t>
      </w:r>
      <w:r w:rsidRPr="008A672F">
        <w:rPr>
          <w:rFonts w:ascii="Times New Roman" w:hAnsi="Times New Roman"/>
          <w:sz w:val="22"/>
          <w:lang w:val="en-GB"/>
        </w:rPr>
        <w:tab/>
        <w:t>the above address;</w:t>
      </w:r>
    </w:p>
    <w:p w14:paraId="792BB132" w14:textId="297E7341" w:rsidR="0047783A" w:rsidRPr="00473EF1"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b)</w:t>
      </w:r>
      <w:r w:rsidRPr="008A672F">
        <w:rPr>
          <w:rFonts w:ascii="Times New Roman" w:hAnsi="Times New Roman"/>
          <w:sz w:val="22"/>
          <w:lang w:val="en-GB"/>
        </w:rPr>
        <w:tab/>
        <w:t xml:space="preserve">the reference code of this tender procedure, </w:t>
      </w:r>
      <w:r w:rsidR="008A672F" w:rsidRPr="008A672F">
        <w:rPr>
          <w:rFonts w:ascii="Times New Roman" w:hAnsi="Times New Roman"/>
          <w:sz w:val="22"/>
          <w:lang w:val="en-GB"/>
        </w:rPr>
        <w:t>(i.e</w:t>
      </w:r>
      <w:r w:rsidR="008A672F" w:rsidRPr="00473EF1">
        <w:rPr>
          <w:rFonts w:ascii="Times New Roman" w:hAnsi="Times New Roman"/>
          <w:sz w:val="22"/>
          <w:lang w:val="en-GB"/>
        </w:rPr>
        <w:t xml:space="preserve">. </w:t>
      </w:r>
      <w:r w:rsidR="001226A0" w:rsidRPr="001226A0">
        <w:rPr>
          <w:rFonts w:ascii="Times New Roman" w:hAnsi="Times New Roman"/>
          <w:sz w:val="22"/>
          <w:lang w:val="en-GB"/>
        </w:rPr>
        <w:t>RORS00127-PP2 - TD0</w:t>
      </w:r>
      <w:r w:rsidR="002753F3">
        <w:rPr>
          <w:rFonts w:ascii="Times New Roman" w:hAnsi="Times New Roman"/>
          <w:sz w:val="22"/>
          <w:lang w:val="en-GB"/>
        </w:rPr>
        <w:t>9</w:t>
      </w:r>
      <w:r w:rsidR="008A672F" w:rsidRPr="00473EF1">
        <w:rPr>
          <w:rFonts w:ascii="Times New Roman" w:hAnsi="Times New Roman"/>
          <w:sz w:val="22"/>
          <w:lang w:val="en-GB"/>
        </w:rPr>
        <w:t>)</w:t>
      </w:r>
      <w:r w:rsidRPr="00473EF1">
        <w:rPr>
          <w:rFonts w:ascii="Times New Roman" w:hAnsi="Times New Roman"/>
          <w:sz w:val="22"/>
          <w:lang w:val="en-GB"/>
        </w:rPr>
        <w:t>;</w:t>
      </w:r>
    </w:p>
    <w:p w14:paraId="1C39B6B0" w14:textId="77777777"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c)</w:t>
      </w:r>
      <w:r w:rsidRPr="008A672F">
        <w:rPr>
          <w:rFonts w:ascii="Times New Roman" w:hAnsi="Times New Roman"/>
          <w:sz w:val="22"/>
          <w:lang w:val="en-GB"/>
        </w:rPr>
        <w:tab/>
        <w:t>where applicable, the number of the lot(s) tendered for;</w:t>
      </w:r>
    </w:p>
    <w:p w14:paraId="6D224A96" w14:textId="732897E4" w:rsidR="0047783A" w:rsidRPr="008A672F" w:rsidRDefault="0047783A" w:rsidP="009956B4">
      <w:pPr>
        <w:pStyle w:val="Heading2"/>
        <w:keepNext w:val="0"/>
        <w:ind w:left="1418" w:hanging="851"/>
        <w:jc w:val="both"/>
        <w:rPr>
          <w:rFonts w:ascii="Times New Roman" w:hAnsi="Times New Roman"/>
          <w:sz w:val="22"/>
          <w:lang w:val="en-IE"/>
        </w:rPr>
      </w:pPr>
      <w:r w:rsidRPr="008A672F">
        <w:rPr>
          <w:rFonts w:ascii="Times New Roman" w:hAnsi="Times New Roman"/>
          <w:sz w:val="22"/>
          <w:lang w:val="en-GB"/>
        </w:rPr>
        <w:t>d)</w:t>
      </w:r>
      <w:r w:rsidRPr="008A672F">
        <w:rPr>
          <w:rFonts w:ascii="Times New Roman" w:hAnsi="Times New Roman"/>
          <w:sz w:val="22"/>
          <w:lang w:val="en-GB"/>
        </w:rPr>
        <w:tab/>
        <w:t xml:space="preserve">the words </w:t>
      </w:r>
      <w:r w:rsidR="00F00A68">
        <w:rPr>
          <w:rFonts w:ascii="Times New Roman" w:hAnsi="Times New Roman"/>
          <w:sz w:val="22"/>
          <w:lang w:val="en-GB"/>
        </w:rPr>
        <w:t>“</w:t>
      </w:r>
      <w:r w:rsidRPr="008A672F">
        <w:rPr>
          <w:rFonts w:ascii="Times New Roman" w:hAnsi="Times New Roman"/>
          <w:sz w:val="22"/>
          <w:lang w:val="en-GB"/>
        </w:rPr>
        <w:t>Not to be opened before the tender opening session</w:t>
      </w:r>
      <w:r w:rsidR="00F00A68">
        <w:rPr>
          <w:rFonts w:ascii="Times New Roman" w:hAnsi="Times New Roman"/>
          <w:sz w:val="22"/>
          <w:lang w:val="en-GB"/>
        </w:rPr>
        <w:t>”</w:t>
      </w:r>
      <w:r w:rsidRPr="008A672F">
        <w:rPr>
          <w:rFonts w:ascii="Times New Roman" w:hAnsi="Times New Roman"/>
          <w:sz w:val="22"/>
          <w:lang w:val="en-GB"/>
        </w:rPr>
        <w:t xml:space="preserve"> in the language of the tender dossier and</w:t>
      </w:r>
      <w:r w:rsidRPr="008A672F">
        <w:rPr>
          <w:rFonts w:ascii="Times New Roman" w:hAnsi="Times New Roman"/>
          <w:sz w:val="22"/>
          <w:lang w:val="en-IE"/>
        </w:rPr>
        <w:t xml:space="preserve"> </w:t>
      </w:r>
      <w:r w:rsidR="008A672F" w:rsidRPr="008A672F">
        <w:rPr>
          <w:rFonts w:ascii="Times New Roman" w:hAnsi="Times New Roman"/>
          <w:sz w:val="22"/>
          <w:lang w:val="en-IE"/>
        </w:rPr>
        <w:t>“Ne otvarati pre sastanka za otvaranje ponuda”</w:t>
      </w:r>
      <w:r w:rsidRPr="008A672F">
        <w:rPr>
          <w:rFonts w:ascii="Times New Roman" w:hAnsi="Times New Roman"/>
          <w:sz w:val="22"/>
          <w:lang w:val="en-IE"/>
        </w:rPr>
        <w:t>.</w:t>
      </w:r>
    </w:p>
    <w:p w14:paraId="579455BA" w14:textId="77777777"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e)</w:t>
      </w:r>
      <w:r w:rsidRPr="008A672F">
        <w:rPr>
          <w:rFonts w:ascii="Times New Roman" w:hAnsi="Times New Roman"/>
          <w:sz w:val="22"/>
          <w:lang w:val="en-GB"/>
        </w:rPr>
        <w:tab/>
        <w:t>the name of the tenderer.</w:t>
      </w:r>
    </w:p>
    <w:p w14:paraId="70A99683" w14:textId="026D95E3" w:rsidR="0047783A" w:rsidRPr="008A672F" w:rsidRDefault="0047783A" w:rsidP="009956B4">
      <w:pPr>
        <w:pStyle w:val="Heading2"/>
        <w:keepNext w:val="0"/>
        <w:ind w:left="567"/>
        <w:jc w:val="both"/>
        <w:rPr>
          <w:rFonts w:ascii="Times New Roman" w:hAnsi="Times New Roman"/>
          <w:sz w:val="22"/>
          <w:lang w:val="en-IE"/>
        </w:rPr>
      </w:pPr>
      <w:r w:rsidRPr="008A672F">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1A2BC4" w:rsidRDefault="00A633C6" w:rsidP="009956B4">
      <w:pPr>
        <w:pStyle w:val="Heading1"/>
        <w:rPr>
          <w:lang w:val="en-GB"/>
        </w:rPr>
      </w:pPr>
      <w:bookmarkStart w:id="17" w:name="_Toc42488080"/>
      <w:r>
        <w:rPr>
          <w:lang w:val="en-GB"/>
        </w:rPr>
        <w:t xml:space="preserve">11. </w:t>
      </w:r>
      <w:r w:rsidR="0047783A" w:rsidRPr="001A2BC4">
        <w:rPr>
          <w:lang w:val="en-GB"/>
        </w:rPr>
        <w:t>Content of tenders</w:t>
      </w:r>
      <w:bookmarkEnd w:id="17"/>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28CDF910" w14:textId="77777777" w:rsidR="00A97233" w:rsidRPr="00E82463" w:rsidRDefault="00A97233" w:rsidP="00A97233">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00D8B1F5" w14:textId="33679FE9" w:rsidR="006032C2" w:rsidRDefault="00A97233" w:rsidP="006032C2">
      <w:pPr>
        <w:pStyle w:val="Heading2"/>
        <w:keepLines/>
        <w:numPr>
          <w:ilvl w:val="0"/>
          <w:numId w:val="6"/>
        </w:numPr>
        <w:tabs>
          <w:tab w:val="clear" w:pos="786"/>
          <w:tab w:val="num" w:pos="360"/>
          <w:tab w:val="num" w:pos="1134"/>
        </w:tabs>
        <w:spacing w:before="0" w:after="0"/>
        <w:ind w:left="1135" w:hanging="568"/>
        <w:rPr>
          <w:rFonts w:ascii="Times New Roman" w:hAnsi="Times New Roman"/>
          <w:sz w:val="22"/>
          <w:szCs w:val="22"/>
        </w:rPr>
      </w:pPr>
      <w:r w:rsidRPr="00E82463">
        <w:rPr>
          <w:rFonts w:ascii="Times New Roman" w:hAnsi="Times New Roman"/>
          <w:sz w:val="22"/>
          <w:szCs w:val="22"/>
          <w:lang w:val="en-GB"/>
        </w:rPr>
        <w:t>a detailed description of the supplies tendered in conformity with the technical specifications, including any documentation required</w:t>
      </w:r>
    </w:p>
    <w:p w14:paraId="070BCAF0" w14:textId="77777777" w:rsidR="00A97233" w:rsidRPr="00E82463" w:rsidRDefault="00A97233" w:rsidP="00A97233">
      <w:pPr>
        <w:ind w:left="567"/>
        <w:rPr>
          <w:rFonts w:ascii="Times New Roman" w:hAnsi="Times New Roman"/>
          <w:sz w:val="22"/>
          <w:szCs w:val="22"/>
        </w:rPr>
      </w:pPr>
      <w:r w:rsidRPr="00E82463">
        <w:rPr>
          <w:rFonts w:ascii="Times New Roman" w:hAnsi="Times New Roman"/>
          <w:sz w:val="22"/>
          <w:szCs w:val="22"/>
        </w:rPr>
        <w:t>The technical offer should be presented as per template (Annex II+III*, Contractor’s technical offer) adding separate sheets for details if necessary.</w:t>
      </w:r>
    </w:p>
    <w:p w14:paraId="6A74FF10" w14:textId="77777777" w:rsidR="00A97233" w:rsidRPr="00E82463" w:rsidRDefault="00A97233" w:rsidP="00A97233">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2569EEE7" w14:textId="7F59D957" w:rsidR="00A97233" w:rsidRPr="00E82463" w:rsidRDefault="00A97233" w:rsidP="00A97233">
      <w:pPr>
        <w:pStyle w:val="Heading2"/>
        <w:keepNext w:val="0"/>
        <w:numPr>
          <w:ilvl w:val="0"/>
          <w:numId w:val="6"/>
        </w:numPr>
        <w:tabs>
          <w:tab w:val="clear" w:pos="786"/>
          <w:tab w:val="num" w:pos="360"/>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financial offer calculated on a</w:t>
      </w:r>
      <w:r>
        <w:rPr>
          <w:rFonts w:ascii="Times New Roman" w:hAnsi="Times New Roman"/>
          <w:sz w:val="22"/>
          <w:szCs w:val="22"/>
          <w:lang w:val="en-GB"/>
        </w:rPr>
        <w:t xml:space="preserve"> </w:t>
      </w:r>
      <w:r w:rsidRPr="00371694">
        <w:rPr>
          <w:rFonts w:ascii="Times New Roman" w:hAnsi="Times New Roman"/>
          <w:sz w:val="22"/>
          <w:szCs w:val="22"/>
          <w:lang w:val="en-GB"/>
        </w:rPr>
        <w:t>DDP</w:t>
      </w:r>
      <w:r w:rsidRPr="00E82463">
        <w:rPr>
          <w:rStyle w:val="FootnoteReference"/>
          <w:rFonts w:ascii="Times New Roman" w:hAnsi="Times New Roman"/>
        </w:rPr>
        <w:footnoteReference w:id="4"/>
      </w:r>
      <w:r w:rsidRPr="00E82463">
        <w:rPr>
          <w:rFonts w:ascii="Times New Roman" w:hAnsi="Times New Roman"/>
          <w:sz w:val="22"/>
          <w:szCs w:val="22"/>
          <w:lang w:val="en-GB"/>
        </w:rPr>
        <w:t xml:space="preserve"> basis for the supplies tendered:</w:t>
      </w:r>
    </w:p>
    <w:p w14:paraId="664111AC" w14:textId="32D6A067" w:rsidR="0047783A" w:rsidRDefault="00A97233" w:rsidP="00A97233">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2286F8CA" w14:textId="000A65A7" w:rsidR="0047783A" w:rsidRPr="00A97233" w:rsidRDefault="0047783A" w:rsidP="003D2AC3">
      <w:pPr>
        <w:numPr>
          <w:ilvl w:val="0"/>
          <w:numId w:val="6"/>
        </w:numPr>
        <w:tabs>
          <w:tab w:val="num" w:pos="851"/>
        </w:tabs>
        <w:ind w:left="851" w:hanging="425"/>
        <w:jc w:val="both"/>
        <w:rPr>
          <w:rFonts w:ascii="Times New Roman" w:hAnsi="Times New Roman"/>
          <w:sz w:val="22"/>
          <w:szCs w:val="22"/>
        </w:rPr>
      </w:pPr>
      <w:r w:rsidRPr="00A97233">
        <w:rPr>
          <w:rFonts w:ascii="Times New Roman" w:hAnsi="Times New Roman"/>
          <w:sz w:val="22"/>
          <w:szCs w:val="22"/>
        </w:rPr>
        <w:t xml:space="preserve">The </w:t>
      </w:r>
      <w:r w:rsidR="0002493B" w:rsidRPr="00A97233">
        <w:rPr>
          <w:rFonts w:ascii="Times New Roman" w:hAnsi="Times New Roman"/>
          <w:sz w:val="22"/>
          <w:szCs w:val="22"/>
        </w:rPr>
        <w:t>"</w:t>
      </w:r>
      <w:r w:rsidRPr="00A97233">
        <w:rPr>
          <w:rFonts w:ascii="Times New Roman" w:hAnsi="Times New Roman"/>
          <w:sz w:val="22"/>
          <w:szCs w:val="22"/>
        </w:rPr>
        <w:t xml:space="preserve">Tender </w:t>
      </w:r>
      <w:r w:rsidR="005C1201" w:rsidRPr="00A97233">
        <w:rPr>
          <w:rFonts w:ascii="Times New Roman" w:hAnsi="Times New Roman"/>
          <w:sz w:val="22"/>
          <w:szCs w:val="22"/>
        </w:rPr>
        <w:t>f</w:t>
      </w:r>
      <w:r w:rsidRPr="00A97233">
        <w:rPr>
          <w:rFonts w:ascii="Times New Roman" w:hAnsi="Times New Roman"/>
          <w:sz w:val="22"/>
          <w:szCs w:val="22"/>
        </w:rPr>
        <w:t xml:space="preserve">orm for a </w:t>
      </w:r>
      <w:r w:rsidR="005C1201" w:rsidRPr="00A97233">
        <w:rPr>
          <w:rFonts w:ascii="Times New Roman" w:hAnsi="Times New Roman"/>
          <w:sz w:val="22"/>
          <w:szCs w:val="22"/>
        </w:rPr>
        <w:t>s</w:t>
      </w:r>
      <w:r w:rsidRPr="00A97233">
        <w:rPr>
          <w:rFonts w:ascii="Times New Roman" w:hAnsi="Times New Roman"/>
          <w:sz w:val="22"/>
          <w:szCs w:val="22"/>
        </w:rPr>
        <w:t xml:space="preserve">upply </w:t>
      </w:r>
      <w:r w:rsidR="005C1201" w:rsidRPr="00A97233">
        <w:rPr>
          <w:rFonts w:ascii="Times New Roman" w:hAnsi="Times New Roman"/>
          <w:sz w:val="22"/>
          <w:szCs w:val="22"/>
        </w:rPr>
        <w:t>c</w:t>
      </w:r>
      <w:r w:rsidRPr="00A97233">
        <w:rPr>
          <w:rFonts w:ascii="Times New Roman" w:hAnsi="Times New Roman"/>
          <w:sz w:val="22"/>
          <w:szCs w:val="22"/>
        </w:rPr>
        <w:t>ontract</w:t>
      </w:r>
      <w:r w:rsidR="0002493B" w:rsidRPr="00A97233">
        <w:rPr>
          <w:rFonts w:ascii="Times New Roman" w:hAnsi="Times New Roman"/>
          <w:sz w:val="22"/>
          <w:szCs w:val="22"/>
        </w:rPr>
        <w:t>"</w:t>
      </w:r>
      <w:r w:rsidRPr="00A97233">
        <w:rPr>
          <w:rFonts w:ascii="Times New Roman" w:hAnsi="Times New Roman"/>
          <w:sz w:val="22"/>
          <w:szCs w:val="22"/>
        </w:rPr>
        <w:t xml:space="preserve">, </w:t>
      </w:r>
      <w:r w:rsidR="007A0C47" w:rsidRPr="00A97233">
        <w:rPr>
          <w:rFonts w:ascii="Times New Roman" w:hAnsi="Times New Roman"/>
          <w:sz w:val="22"/>
          <w:szCs w:val="22"/>
        </w:rPr>
        <w:t xml:space="preserve">together with Annex 1 </w:t>
      </w:r>
      <w:r w:rsidR="0002493B" w:rsidRPr="00A97233">
        <w:rPr>
          <w:rFonts w:ascii="Times New Roman" w:hAnsi="Times New Roman"/>
          <w:b/>
          <w:sz w:val="22"/>
          <w:szCs w:val="22"/>
        </w:rPr>
        <w:t>"</w:t>
      </w:r>
      <w:r w:rsidR="007A0C47" w:rsidRPr="00A97233">
        <w:rPr>
          <w:rFonts w:ascii="Times New Roman" w:hAnsi="Times New Roman"/>
          <w:b/>
          <w:sz w:val="22"/>
          <w:szCs w:val="22"/>
        </w:rPr>
        <w:t>Declaration o</w:t>
      </w:r>
      <w:r w:rsidR="0002493B" w:rsidRPr="00A97233">
        <w:rPr>
          <w:rFonts w:ascii="Times New Roman" w:hAnsi="Times New Roman"/>
          <w:b/>
          <w:sz w:val="22"/>
          <w:szCs w:val="22"/>
        </w:rPr>
        <w:t>n</w:t>
      </w:r>
      <w:r w:rsidR="007A0C47" w:rsidRPr="00A97233">
        <w:rPr>
          <w:rFonts w:ascii="Times New Roman" w:hAnsi="Times New Roman"/>
          <w:b/>
          <w:sz w:val="22"/>
          <w:szCs w:val="22"/>
        </w:rPr>
        <w:t xml:space="preserve"> honour on exclusion criteria and selection criteria</w:t>
      </w:r>
      <w:r w:rsidR="0002493B" w:rsidRPr="00A97233">
        <w:rPr>
          <w:rFonts w:ascii="Times New Roman" w:hAnsi="Times New Roman"/>
          <w:b/>
          <w:sz w:val="22"/>
          <w:szCs w:val="22"/>
        </w:rPr>
        <w:t>"</w:t>
      </w:r>
      <w:r w:rsidR="007A0C47" w:rsidRPr="00A97233">
        <w:rPr>
          <w:rFonts w:ascii="Times New Roman" w:hAnsi="Times New Roman"/>
          <w:sz w:val="22"/>
          <w:szCs w:val="22"/>
        </w:rPr>
        <w:t xml:space="preserve">, both </w:t>
      </w:r>
      <w:r w:rsidRPr="00A97233">
        <w:rPr>
          <w:rFonts w:ascii="Times New Roman" w:hAnsi="Times New Roman"/>
          <w:sz w:val="22"/>
          <w:szCs w:val="22"/>
        </w:rPr>
        <w:t>duly completed, which includes the</w:t>
      </w:r>
      <w:r w:rsidR="00E45107" w:rsidRPr="00A97233">
        <w:rPr>
          <w:rFonts w:ascii="Times New Roman" w:hAnsi="Times New Roman"/>
          <w:sz w:val="22"/>
          <w:szCs w:val="22"/>
          <w:u w:val="single"/>
        </w:rPr>
        <w:t xml:space="preserve"> </w:t>
      </w:r>
      <w:r w:rsidRPr="00A97233">
        <w:rPr>
          <w:rFonts w:ascii="Times New Roman" w:hAnsi="Times New Roman"/>
          <w:sz w:val="22"/>
          <w:szCs w:val="22"/>
        </w:rPr>
        <w:t>tenderer’s declaration, point 7, (from each member if a consortium</w:t>
      </w:r>
      <w:r w:rsidR="00224EE3" w:rsidRPr="00A97233">
        <w:rPr>
          <w:rFonts w:ascii="Times New Roman" w:hAnsi="Times New Roman"/>
          <w:sz w:val="22"/>
          <w:szCs w:val="22"/>
        </w:rPr>
        <w:t>, and capacity-providing entities or subcontractors (if any)</w:t>
      </w:r>
      <w:r w:rsidRPr="00A97233">
        <w:rPr>
          <w:rFonts w:ascii="Times New Roman" w:hAnsi="Times New Roman"/>
          <w:sz w:val="22"/>
          <w:szCs w:val="22"/>
        </w:rPr>
        <w:t>)</w:t>
      </w:r>
      <w:r w:rsidR="00CC6A3F" w:rsidRPr="00A97233">
        <w:rPr>
          <w:rFonts w:ascii="Times New Roman" w:hAnsi="Times New Roman"/>
          <w:sz w:val="22"/>
          <w:szCs w:val="22"/>
        </w:rPr>
        <w:t>.</w:t>
      </w:r>
      <w:r w:rsidR="00651BD8" w:rsidRPr="00A97233">
        <w:rPr>
          <w:rFonts w:ascii="Times New Roman" w:hAnsi="Times New Roman"/>
          <w:sz w:val="22"/>
          <w:szCs w:val="22"/>
        </w:rPr>
        <w:t xml:space="preserve"> A copy of the signed original De</w:t>
      </w:r>
      <w:r w:rsidR="00691664" w:rsidRPr="00A97233">
        <w:rPr>
          <w:rFonts w:ascii="Times New Roman" w:hAnsi="Times New Roman"/>
          <w:sz w:val="22"/>
          <w:szCs w:val="22"/>
        </w:rPr>
        <w:t>claration shall be submitted. The original shall be kept by the tenderer and might be requested by the Contracting Authority.</w:t>
      </w:r>
    </w:p>
    <w:p w14:paraId="2F0314E8" w14:textId="77777777" w:rsidR="0047783A" w:rsidRPr="00E82463"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w:t>
      </w:r>
      <w:r w:rsidRPr="00F1033C">
        <w:rPr>
          <w:rFonts w:ascii="Times New Roman" w:hAnsi="Times New Roman"/>
          <w:b/>
          <w:bCs/>
          <w:sz w:val="22"/>
          <w:szCs w:val="22"/>
        </w:rPr>
        <w:t>financial identification form</w:t>
      </w:r>
      <w:r w:rsidR="007C6835" w:rsidRPr="00F1033C">
        <w:rPr>
          <w:rFonts w:ascii="Times New Roman" w:hAnsi="Times New Roman"/>
          <w:b/>
          <w:bCs/>
          <w:sz w:val="22"/>
          <w:szCs w:val="22"/>
        </w:rPr>
        <w:t xml:space="preserve"> – document 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2445D29D"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lastRenderedPageBreak/>
        <w:t xml:space="preserve">The </w:t>
      </w:r>
      <w:r w:rsidRPr="00F1033C">
        <w:rPr>
          <w:rFonts w:ascii="Times New Roman" w:hAnsi="Times New Roman"/>
          <w:b/>
          <w:bCs/>
          <w:sz w:val="22"/>
          <w:szCs w:val="22"/>
        </w:rPr>
        <w:t>legal entity file</w:t>
      </w:r>
      <w:r w:rsidRPr="00E82463">
        <w:rPr>
          <w:rFonts w:ascii="Times New Roman" w:hAnsi="Times New Roman"/>
          <w:sz w:val="22"/>
          <w:szCs w:val="22"/>
        </w:rPr>
        <w:t xml:space="preserv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0DD55ADA"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w:t>
      </w:r>
      <w:r w:rsidRPr="00F1033C">
        <w:rPr>
          <w:rFonts w:ascii="Times New Roman" w:hAnsi="Times New Roman"/>
          <w:b/>
          <w:bCs/>
          <w:sz w:val="22"/>
          <w:szCs w:val="22"/>
        </w:rPr>
        <w:t>description of the warranty conditions</w:t>
      </w:r>
      <w:r w:rsidRPr="00E82463">
        <w:rPr>
          <w:rFonts w:ascii="Times New Roman" w:hAnsi="Times New Roman"/>
          <w:sz w:val="22"/>
          <w:szCs w:val="22"/>
        </w:rPr>
        <w:t xml:space="preserve">,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4D0B043C" w14:textId="57ECA64C" w:rsidR="0047783A" w:rsidRPr="00E82463" w:rsidRDefault="00A97233" w:rsidP="00AC07D4">
      <w:pPr>
        <w:numPr>
          <w:ilvl w:val="0"/>
          <w:numId w:val="6"/>
        </w:numPr>
        <w:tabs>
          <w:tab w:val="num" w:pos="1134"/>
        </w:tabs>
        <w:spacing w:after="0"/>
        <w:ind w:left="1135" w:hanging="568"/>
        <w:jc w:val="both"/>
        <w:rPr>
          <w:rFonts w:ascii="Times New Roman" w:hAnsi="Times New Roman"/>
          <w:sz w:val="22"/>
          <w:szCs w:val="22"/>
        </w:rPr>
      </w:pPr>
      <w:r w:rsidRPr="000955F4">
        <w:rPr>
          <w:rFonts w:ascii="Times New Roman" w:hAnsi="Times New Roman"/>
          <w:sz w:val="22"/>
          <w:szCs w:val="22"/>
        </w:rPr>
        <w:t xml:space="preserve">A </w:t>
      </w:r>
      <w:r w:rsidRPr="00F1033C">
        <w:rPr>
          <w:rFonts w:ascii="Times New Roman" w:hAnsi="Times New Roman"/>
          <w:b/>
          <w:bCs/>
          <w:sz w:val="22"/>
          <w:szCs w:val="22"/>
        </w:rPr>
        <w:t>description of the organisation of the commercial warranty tendered</w:t>
      </w:r>
      <w:r>
        <w:rPr>
          <w:rFonts w:ascii="Times New Roman" w:hAnsi="Times New Roman"/>
          <w:sz w:val="22"/>
          <w:szCs w:val="22"/>
        </w:rPr>
        <w:t xml:space="preserve"> in accordance with the conditions laid down in Article 32 of the Special Conditions.</w:t>
      </w:r>
    </w:p>
    <w:p w14:paraId="497EF612"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F1033C">
        <w:rPr>
          <w:rFonts w:ascii="Times New Roman" w:hAnsi="Times New Roman"/>
          <w:b/>
          <w:bCs/>
          <w:sz w:val="22"/>
          <w:szCs w:val="22"/>
        </w:rPr>
        <w:t>Duly authorised signature</w:t>
      </w:r>
      <w:r w:rsidRPr="00E82463">
        <w:rPr>
          <w:rFonts w:ascii="Times New Roman" w:hAnsi="Times New Roman"/>
          <w:sz w:val="22"/>
          <w:szCs w:val="22"/>
        </w:rPr>
        <w:t>: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4773246C" w14:textId="77777777" w:rsidR="00A97233" w:rsidRPr="00E82463" w:rsidRDefault="00A97233" w:rsidP="00A97233">
      <w:pPr>
        <w:numPr>
          <w:ilvl w:val="0"/>
          <w:numId w:val="6"/>
        </w:numPr>
        <w:tabs>
          <w:tab w:val="num" w:pos="630"/>
        </w:tabs>
        <w:spacing w:after="0"/>
        <w:ind w:left="810" w:hanging="243"/>
        <w:jc w:val="both"/>
        <w:rPr>
          <w:rFonts w:ascii="Times New Roman" w:hAnsi="Times New Roman"/>
          <w:sz w:val="22"/>
          <w:szCs w:val="22"/>
        </w:rPr>
      </w:pPr>
      <w:r w:rsidRPr="00F1033C">
        <w:rPr>
          <w:rFonts w:ascii="Times New Roman" w:hAnsi="Times New Roman"/>
          <w:b/>
          <w:bCs/>
          <w:sz w:val="22"/>
          <w:szCs w:val="22"/>
        </w:rPr>
        <w:t>Catalogues, brochures, booklets, manufacturers’ declarations</w:t>
      </w:r>
      <w:r w:rsidRPr="000C7886">
        <w:rPr>
          <w:rFonts w:ascii="Times New Roman" w:hAnsi="Times New Roman"/>
          <w:sz w:val="22"/>
          <w:szCs w:val="22"/>
        </w:rPr>
        <w:t xml:space="preserve"> that sufficiently define the</w:t>
      </w:r>
      <w:r>
        <w:rPr>
          <w:rFonts w:ascii="Times New Roman" w:hAnsi="Times New Roman"/>
          <w:sz w:val="22"/>
          <w:szCs w:val="22"/>
        </w:rPr>
        <w:t xml:space="preserve"> </w:t>
      </w:r>
      <w:r w:rsidRPr="000C7886">
        <w:rPr>
          <w:rFonts w:ascii="Times New Roman" w:hAnsi="Times New Roman"/>
          <w:sz w:val="22"/>
          <w:szCs w:val="22"/>
        </w:rPr>
        <w:t>supplies being offered, and thus shall enable the Contracting Authority to check the information provided in the technical offer.</w:t>
      </w:r>
    </w:p>
    <w:p w14:paraId="394677DE" w14:textId="77777777" w:rsidR="000D66C0" w:rsidRDefault="000D66C0" w:rsidP="0047783A">
      <w:pPr>
        <w:spacing w:after="0"/>
        <w:ind w:left="567"/>
        <w:jc w:val="both"/>
        <w:outlineLvl w:val="0"/>
        <w:rPr>
          <w:rFonts w:ascii="Times New Roman" w:hAnsi="Times New Roman"/>
          <w:sz w:val="22"/>
          <w:szCs w:val="22"/>
        </w:rPr>
      </w:pP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6FBABF9A" w14:textId="204EC769" w:rsidR="00F1033C" w:rsidRPr="00F1033C" w:rsidRDefault="0047783A" w:rsidP="00F1033C">
      <w:pPr>
        <w:ind w:left="567"/>
      </w:pPr>
      <w:r w:rsidRPr="00E82463">
        <w:rPr>
          <w:rFonts w:ascii="Times New Roman" w:hAnsi="Times New Roman"/>
          <w:sz w:val="22"/>
          <w:szCs w:val="22"/>
        </w:rPr>
        <w:t xml:space="preserve">Annex* refers to templates attached to the tender dossier. These templates are also available on: </w:t>
      </w:r>
      <w:hyperlink r:id="rId12" w:anchor="Annexes-AnnexesC(Ch.4):Supplies" w:history="1">
        <w:r w:rsidR="00F1033C" w:rsidRPr="00F1033C">
          <w:rPr>
            <w:rStyle w:val="Hyperlink"/>
            <w:rFonts w:ascii="Times New Roman" w:hAnsi="Times New Roman"/>
            <w:sz w:val="22"/>
            <w:szCs w:val="22"/>
          </w:rPr>
          <w:t>https://wikis.ec.europa.eu/display/ExactExternalWiki/Annexes#Annexes-AnnexesC(Ch.4):Supplies</w:t>
        </w:r>
      </w:hyperlink>
    </w:p>
    <w:p w14:paraId="0BA05E29" w14:textId="67E16CAF" w:rsidR="0047783A" w:rsidRPr="001A2BC4" w:rsidRDefault="00A633C6" w:rsidP="009956B4">
      <w:pPr>
        <w:pStyle w:val="Heading1"/>
        <w:rPr>
          <w:lang w:val="en-GB"/>
        </w:rPr>
      </w:pPr>
      <w:bookmarkStart w:id="18" w:name="_Toc42488081"/>
      <w:r>
        <w:rPr>
          <w:lang w:val="en-GB"/>
        </w:rPr>
        <w:t xml:space="preserve">12. </w:t>
      </w:r>
      <w:r w:rsidR="0047783A" w:rsidRPr="001A2BC4">
        <w:rPr>
          <w:lang w:val="en-GB"/>
        </w:rPr>
        <w:t>Taxes and other charges</w:t>
      </w:r>
      <w:bookmarkEnd w:id="18"/>
    </w:p>
    <w:p w14:paraId="56AA49F5" w14:textId="77777777" w:rsidR="00F00A68" w:rsidRPr="00E82463" w:rsidRDefault="00F00A68" w:rsidP="00F00A68">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65D4AE5D" w14:textId="5DE427E6" w:rsidR="0047783A" w:rsidRPr="00E82463" w:rsidRDefault="00F00A68" w:rsidP="00F00A68">
      <w:pPr>
        <w:ind w:left="567"/>
        <w:jc w:val="both"/>
        <w:rPr>
          <w:rFonts w:ascii="Times New Roman" w:hAnsi="Times New Roman"/>
          <w:sz w:val="22"/>
          <w:szCs w:val="22"/>
        </w:rPr>
      </w:pPr>
      <w:r w:rsidRPr="004C3A84">
        <w:rPr>
          <w:rFonts w:ascii="Times New Roman" w:hAnsi="Times New Roman"/>
          <w:sz w:val="22"/>
          <w:szCs w:val="22"/>
        </w:rPr>
        <w:t xml:space="preserve">There is no agreement between the European Commission and </w:t>
      </w:r>
      <w:r w:rsidRPr="00CD3FE5">
        <w:rPr>
          <w:rFonts w:ascii="Times New Roman" w:hAnsi="Times New Roman"/>
          <w:sz w:val="22"/>
        </w:rPr>
        <w:t>Republic of Serbia</w:t>
      </w:r>
      <w:r w:rsidRPr="004C3A84">
        <w:rPr>
          <w:rFonts w:ascii="Times New Roman" w:hAnsi="Times New Roman"/>
          <w:sz w:val="22"/>
          <w:szCs w:val="22"/>
        </w:rPr>
        <w:t xml:space="preserve"> allowing partial or full exemption from taxes</w:t>
      </w:r>
      <w:r>
        <w:rPr>
          <w:rFonts w:ascii="Times New Roman" w:hAnsi="Times New Roman"/>
          <w:sz w:val="22"/>
        </w:rPr>
        <w:t>.</w:t>
      </w:r>
      <w:r w:rsidR="0047783A" w:rsidRPr="00E82463">
        <w:rPr>
          <w:rFonts w:ascii="Times New Roman" w:hAnsi="Times New Roman"/>
          <w:sz w:val="22"/>
          <w:szCs w:val="22"/>
        </w:rPr>
        <w:t xml:space="preserve"> </w:t>
      </w:r>
    </w:p>
    <w:p w14:paraId="09EA0EDD" w14:textId="27BD8675" w:rsidR="0047783A" w:rsidRPr="001A2BC4" w:rsidRDefault="00A633C6" w:rsidP="009956B4">
      <w:pPr>
        <w:pStyle w:val="Heading1"/>
        <w:rPr>
          <w:lang w:val="en-GB"/>
        </w:rPr>
      </w:pPr>
      <w:bookmarkStart w:id="19" w:name="_Toc42488082"/>
      <w:r>
        <w:rPr>
          <w:lang w:val="en-GB"/>
        </w:rPr>
        <w:t xml:space="preserve">13. </w:t>
      </w:r>
      <w:r w:rsidR="0047783A" w:rsidRPr="001A2BC4">
        <w:rPr>
          <w:lang w:val="en-GB"/>
        </w:rPr>
        <w:t>Additional information before the deadline for submission of tenders</w:t>
      </w:r>
      <w:bookmarkEnd w:id="19"/>
    </w:p>
    <w:p w14:paraId="51A1D679" w14:textId="0944BDFF"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0307A758" w14:textId="6C9082FC" w:rsidR="00D37E3E" w:rsidRPr="007C1816" w:rsidRDefault="003E3A6A" w:rsidP="001A2BC4">
      <w:pPr>
        <w:ind w:left="567"/>
        <w:jc w:val="both"/>
        <w:rPr>
          <w:rFonts w:ascii="Times New Roman" w:hAnsi="Times New Roman"/>
          <w:sz w:val="22"/>
        </w:rPr>
      </w:pPr>
      <w:r w:rsidRPr="00F56234">
        <w:rPr>
          <w:rFonts w:ascii="Times New Roman" w:hAnsi="Times New Roman"/>
          <w:b/>
          <w:sz w:val="22"/>
        </w:rPr>
        <w:t>Any request for additional information must be made in writing at the address below at the latest</w:t>
      </w:r>
      <w:r w:rsidR="00A97233" w:rsidRPr="00521EA2">
        <w:rPr>
          <w:rFonts w:ascii="Times New Roman" w:hAnsi="Times New Roman"/>
          <w:sz w:val="22"/>
        </w:rPr>
        <w:t xml:space="preserve"> </w:t>
      </w:r>
      <w:r w:rsidR="00A97233" w:rsidRPr="00F1033C">
        <w:rPr>
          <w:rFonts w:ascii="Times New Roman" w:hAnsi="Times New Roman"/>
          <w:b/>
          <w:bCs/>
          <w:sz w:val="22"/>
        </w:rPr>
        <w:t>21 days before the deadline for submission of tenders</w:t>
      </w:r>
      <w:r w:rsidR="00A97233" w:rsidRPr="00521EA2">
        <w:rPr>
          <w:rFonts w:ascii="Times New Roman" w:hAnsi="Times New Roman"/>
          <w:sz w:val="22"/>
        </w:rPr>
        <w:t>.</w:t>
      </w:r>
    </w:p>
    <w:p w14:paraId="6744EE18" w14:textId="0A5D7F3D" w:rsidR="0047783A" w:rsidRPr="002753F3" w:rsidRDefault="0047783A" w:rsidP="008C4F73">
      <w:pPr>
        <w:pStyle w:val="BodyText"/>
        <w:ind w:left="567"/>
        <w:jc w:val="both"/>
        <w:rPr>
          <w:rFonts w:ascii="Times New Roman" w:hAnsi="Times New Roman"/>
          <w:sz w:val="22"/>
          <w:szCs w:val="22"/>
        </w:rPr>
      </w:pPr>
      <w:r w:rsidRPr="002753F3">
        <w:rPr>
          <w:rFonts w:ascii="Times New Roman" w:hAnsi="Times New Roman"/>
          <w:sz w:val="22"/>
          <w:szCs w:val="22"/>
        </w:rPr>
        <w:t xml:space="preserve">Any clarification of the tender dossier </w:t>
      </w:r>
      <w:r w:rsidR="004F6EE9" w:rsidRPr="002753F3">
        <w:rPr>
          <w:rFonts w:ascii="Times New Roman" w:hAnsi="Times New Roman"/>
          <w:sz w:val="22"/>
          <w:szCs w:val="22"/>
        </w:rPr>
        <w:t>will be published</w:t>
      </w:r>
      <w:r w:rsidR="004B2836" w:rsidRPr="002753F3">
        <w:rPr>
          <w:rFonts w:ascii="Times New Roman" w:hAnsi="Times New Roman"/>
          <w:sz w:val="22"/>
          <w:szCs w:val="22"/>
        </w:rPr>
        <w:t xml:space="preserve"> </w:t>
      </w:r>
      <w:r w:rsidR="008C4F73" w:rsidRPr="002753F3">
        <w:rPr>
          <w:rFonts w:ascii="Times New Roman" w:hAnsi="Times New Roman"/>
          <w:sz w:val="22"/>
          <w:szCs w:val="22"/>
        </w:rPr>
        <w:t xml:space="preserve">on the official website of Programme </w:t>
      </w:r>
      <w:r w:rsidR="008C4F73" w:rsidRPr="00210AC2">
        <w:rPr>
          <w:rFonts w:ascii="Times New Roman" w:hAnsi="Times New Roman"/>
          <w:sz w:val="22"/>
          <w:szCs w:val="22"/>
        </w:rPr>
        <w:t xml:space="preserve">Interreg IPA Romania - Serbia, at: </w:t>
      </w:r>
      <w:hyperlink r:id="rId13" w:history="1">
        <w:r w:rsidR="00AB1847" w:rsidRPr="00210AC2">
          <w:rPr>
            <w:rStyle w:val="Hyperlink"/>
            <w:rFonts w:ascii="Times New Roman" w:hAnsi="Times New Roman"/>
            <w:sz w:val="22"/>
            <w:szCs w:val="22"/>
          </w:rPr>
          <w:t>https://romania-serbia.net/transparency/procurements2025/</w:t>
        </w:r>
      </w:hyperlink>
      <w:r w:rsidR="00AB1847" w:rsidRPr="00210AC2">
        <w:rPr>
          <w:rFonts w:ascii="Times New Roman" w:hAnsi="Times New Roman"/>
          <w:sz w:val="22"/>
          <w:szCs w:val="22"/>
        </w:rPr>
        <w:t xml:space="preserve"> </w:t>
      </w:r>
      <w:r w:rsidR="008C4F73" w:rsidRPr="00210AC2">
        <w:rPr>
          <w:rFonts w:ascii="Times New Roman" w:hAnsi="Times New Roman"/>
          <w:sz w:val="22"/>
          <w:szCs w:val="22"/>
        </w:rPr>
        <w:t xml:space="preserve">and on the Contracting Authority’s official website: </w:t>
      </w:r>
      <w:hyperlink r:id="rId14" w:history="1">
        <w:r w:rsidR="001226A0" w:rsidRPr="00210AC2">
          <w:rPr>
            <w:rStyle w:val="Hyperlink"/>
            <w:rFonts w:ascii="Times New Roman" w:hAnsi="Times New Roman"/>
            <w:sz w:val="22"/>
            <w:szCs w:val="22"/>
          </w:rPr>
          <w:t>https://www.ekourbapv.vojvodina.gov.rs/</w:t>
        </w:r>
      </w:hyperlink>
      <w:r w:rsidR="001226A0" w:rsidRPr="002753F3">
        <w:rPr>
          <w:rFonts w:ascii="Times New Roman" w:hAnsi="Times New Roman"/>
          <w:sz w:val="22"/>
          <w:szCs w:val="22"/>
        </w:rPr>
        <w:t xml:space="preserve"> </w:t>
      </w:r>
      <w:r w:rsidRPr="002753F3">
        <w:rPr>
          <w:rFonts w:ascii="Times New Roman" w:hAnsi="Times New Roman"/>
          <w:sz w:val="22"/>
          <w:szCs w:val="22"/>
        </w:rPr>
        <w:t xml:space="preserve">at the latest </w:t>
      </w:r>
      <w:r w:rsidR="002F559C" w:rsidRPr="002753F3">
        <w:rPr>
          <w:rFonts w:ascii="Times New Roman" w:hAnsi="Times New Roman"/>
          <w:sz w:val="22"/>
          <w:szCs w:val="22"/>
        </w:rPr>
        <w:t xml:space="preserve">8 </w:t>
      </w:r>
      <w:r w:rsidRPr="002753F3">
        <w:rPr>
          <w:rFonts w:ascii="Times New Roman" w:hAnsi="Times New Roman"/>
          <w:sz w:val="22"/>
          <w:szCs w:val="22"/>
        </w:rPr>
        <w:t>days before the deadline for submission of tenders.</w:t>
      </w:r>
      <w:r w:rsidR="00C976DE" w:rsidRPr="002753F3">
        <w:rPr>
          <w:rFonts w:ascii="Times New Roman" w:hAnsi="Times New Roman"/>
          <w:sz w:val="22"/>
          <w:szCs w:val="22"/>
        </w:rPr>
        <w:t xml:space="preserve"> The website</w:t>
      </w:r>
      <w:r w:rsidR="008C4F73" w:rsidRPr="002753F3">
        <w:rPr>
          <w:rFonts w:ascii="Times New Roman" w:hAnsi="Times New Roman"/>
          <w:sz w:val="22"/>
          <w:szCs w:val="22"/>
        </w:rPr>
        <w:t>s</w:t>
      </w:r>
      <w:r w:rsidR="00C976DE" w:rsidRPr="002753F3">
        <w:rPr>
          <w:rFonts w:ascii="Times New Roman" w:hAnsi="Times New Roman"/>
          <w:sz w:val="22"/>
          <w:szCs w:val="22"/>
        </w:rPr>
        <w:t xml:space="preserve"> will be updated regularly and it is the tenderer’s responsibility to check for updates and modifications during the submission period.</w:t>
      </w:r>
    </w:p>
    <w:p w14:paraId="5A6F00C2" w14:textId="77777777" w:rsidR="0047783A" w:rsidRDefault="0047783A" w:rsidP="00AC07D4">
      <w:pPr>
        <w:pStyle w:val="BodyText"/>
        <w:ind w:left="567"/>
        <w:jc w:val="both"/>
        <w:rPr>
          <w:rFonts w:ascii="Times New Roman" w:hAnsi="Times New Roman"/>
          <w:sz w:val="22"/>
        </w:rPr>
      </w:pPr>
      <w:r w:rsidRPr="00E82463">
        <w:rPr>
          <w:rFonts w:ascii="Times New Roman" w:hAnsi="Times New Roman"/>
          <w:sz w:val="22"/>
        </w:rPr>
        <w:lastRenderedPageBreak/>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36D4CF98" w14:textId="77777777" w:rsidR="003E3A6A" w:rsidRPr="004B2836" w:rsidRDefault="003E3A6A" w:rsidP="003E3A6A">
      <w:pPr>
        <w:keepNext/>
        <w:ind w:left="567"/>
        <w:jc w:val="both"/>
      </w:pPr>
      <w:r w:rsidRPr="004B2836">
        <w:rPr>
          <w:rFonts w:ascii="Times New Roman" w:hAnsi="Times New Roman"/>
          <w:sz w:val="22"/>
          <w:szCs w:val="22"/>
        </w:rPr>
        <w:t xml:space="preserve">Tenderers may submit questions in writing to the following address up to </w:t>
      </w:r>
      <w:r w:rsidRPr="004B2836">
        <w:rPr>
          <w:rFonts w:ascii="Times New Roman" w:hAnsi="Times New Roman"/>
          <w:sz w:val="22"/>
        </w:rPr>
        <w:t>21 days</w:t>
      </w:r>
      <w:r w:rsidRPr="004B2836">
        <w:rPr>
          <w:rFonts w:ascii="Times New Roman" w:hAnsi="Times New Roman"/>
          <w:sz w:val="22"/>
          <w:szCs w:val="22"/>
        </w:rPr>
        <w:t xml:space="preserve"> before the deadline for submission of tenders, specifying the publication reference and the contract title:</w:t>
      </w:r>
    </w:p>
    <w:p w14:paraId="5B84C13F" w14:textId="77777777" w:rsidR="00F00A68" w:rsidRPr="004B2836" w:rsidRDefault="00F00A68" w:rsidP="00F00A68">
      <w:pPr>
        <w:ind w:left="567"/>
        <w:rPr>
          <w:rFonts w:ascii="Times New Roman" w:hAnsi="Times New Roman"/>
          <w:b/>
          <w:sz w:val="22"/>
        </w:rPr>
      </w:pPr>
      <w:r w:rsidRPr="004B2836">
        <w:rPr>
          <w:rFonts w:ascii="Times New Roman" w:hAnsi="Times New Roman"/>
          <w:b/>
          <w:sz w:val="22"/>
        </w:rPr>
        <w:t>Address for request for additional information and tenderers questions:</w:t>
      </w:r>
    </w:p>
    <w:p w14:paraId="21D00FE3" w14:textId="731A5CC0" w:rsidR="00F00A68" w:rsidRPr="002E67E3" w:rsidRDefault="001226A0" w:rsidP="00F00A68">
      <w:pPr>
        <w:keepNext/>
        <w:spacing w:before="0" w:after="0"/>
        <w:ind w:left="562"/>
        <w:rPr>
          <w:rFonts w:ascii="Times New Roman" w:hAnsi="Times New Roman"/>
          <w:b/>
          <w:sz w:val="22"/>
          <w:lang w:val="en-US"/>
        </w:rPr>
      </w:pPr>
      <w:r w:rsidRPr="001226A0">
        <w:rPr>
          <w:rFonts w:ascii="Times New Roman" w:hAnsi="Times New Roman"/>
          <w:b/>
          <w:sz w:val="22"/>
        </w:rPr>
        <w:t>Provincial Secretariat for Urban Planning and Environmental Protection, Bulevar Mihajla Pupina, 16, 21101 Novi Sad, Republic of Serbia</w:t>
      </w:r>
    </w:p>
    <w:p w14:paraId="45FE3069" w14:textId="3416408C" w:rsidR="00F00A68" w:rsidRPr="002E67E3" w:rsidRDefault="00F00A68" w:rsidP="00F00A68">
      <w:pPr>
        <w:ind w:left="567"/>
        <w:rPr>
          <w:rFonts w:ascii="Times New Roman" w:hAnsi="Times New Roman"/>
          <w:b/>
          <w:sz w:val="22"/>
        </w:rPr>
      </w:pPr>
      <w:r w:rsidRPr="002E67E3">
        <w:rPr>
          <w:rFonts w:ascii="Times New Roman" w:hAnsi="Times New Roman"/>
          <w:b/>
          <w:sz w:val="22"/>
        </w:rPr>
        <w:t xml:space="preserve">Contact name: </w:t>
      </w:r>
      <w:r w:rsidR="001226A0">
        <w:rPr>
          <w:rFonts w:ascii="Times New Roman" w:hAnsi="Times New Roman"/>
          <w:b/>
          <w:sz w:val="22"/>
        </w:rPr>
        <w:t>Tatjana Đuri</w:t>
      </w:r>
      <w:r w:rsidRPr="002E67E3">
        <w:rPr>
          <w:rFonts w:ascii="Times New Roman" w:hAnsi="Times New Roman"/>
          <w:b/>
          <w:sz w:val="22"/>
        </w:rPr>
        <w:t>ć</w:t>
      </w:r>
    </w:p>
    <w:p w14:paraId="3A2182DF" w14:textId="45FE8FC5" w:rsidR="003E3A6A" w:rsidRPr="002E67E3" w:rsidRDefault="00F00A68" w:rsidP="00F00A68">
      <w:pPr>
        <w:keepNext/>
        <w:ind w:left="567"/>
        <w:jc w:val="both"/>
        <w:rPr>
          <w:rFonts w:ascii="Times New Roman" w:hAnsi="Times New Roman"/>
          <w:sz w:val="22"/>
          <w:szCs w:val="22"/>
        </w:rPr>
      </w:pPr>
      <w:r w:rsidRPr="002E67E3">
        <w:rPr>
          <w:rFonts w:ascii="Times New Roman" w:hAnsi="Times New Roman"/>
          <w:b/>
          <w:snapToGrid/>
          <w:sz w:val="22"/>
          <w:szCs w:val="22"/>
          <w:lang w:val="en-US" w:eastAsia="en-GB"/>
        </w:rPr>
        <w:t xml:space="preserve">Email: </w:t>
      </w:r>
      <w:hyperlink r:id="rId15" w:history="1">
        <w:r w:rsidR="001226A0" w:rsidRPr="006679C4">
          <w:rPr>
            <w:rStyle w:val="Hyperlink"/>
            <w:rFonts w:ascii="Times New Roman" w:hAnsi="Times New Roman"/>
            <w:b/>
            <w:snapToGrid/>
            <w:sz w:val="22"/>
            <w:szCs w:val="22"/>
            <w:lang w:val="en-US" w:eastAsia="en-GB"/>
          </w:rPr>
          <w:t>tatjana.djuric70@gmail.com</w:t>
        </w:r>
      </w:hyperlink>
      <w:r w:rsidR="001226A0">
        <w:rPr>
          <w:rFonts w:ascii="Times New Roman" w:hAnsi="Times New Roman"/>
          <w:b/>
          <w:snapToGrid/>
          <w:sz w:val="22"/>
          <w:szCs w:val="22"/>
          <w:u w:val="single"/>
          <w:lang w:val="en-US" w:eastAsia="en-GB"/>
        </w:rPr>
        <w:t xml:space="preserve"> </w:t>
      </w:r>
    </w:p>
    <w:p w14:paraId="32A68479" w14:textId="77777777" w:rsidR="003E3A6A" w:rsidRDefault="003E3A6A" w:rsidP="003E3A6A">
      <w:pPr>
        <w:pStyle w:val="BodyText"/>
        <w:ind w:left="567"/>
        <w:jc w:val="both"/>
        <w:rPr>
          <w:rFonts w:ascii="Times New Roman" w:hAnsi="Times New Roman"/>
          <w:sz w:val="22"/>
          <w:szCs w:val="22"/>
          <w:highlight w:val="lightGray"/>
        </w:rPr>
      </w:pPr>
      <w:r w:rsidRPr="004B2836">
        <w:rPr>
          <w:rFonts w:ascii="Times New Roman" w:hAnsi="Times New Roman"/>
          <w:sz w:val="22"/>
          <w:szCs w:val="22"/>
        </w:rPr>
        <w:t>Any clarification of the tender dossier will be communicated simultaneously in writing to all tenderers at the latest 8 days before the deadline for submitting tenders.</w:t>
      </w:r>
    </w:p>
    <w:p w14:paraId="13441B37" w14:textId="2D01FDE3" w:rsidR="003E3A6A" w:rsidRPr="004B2836" w:rsidRDefault="003E3A6A" w:rsidP="003E3A6A">
      <w:pPr>
        <w:pStyle w:val="BodyText"/>
        <w:ind w:left="567"/>
        <w:jc w:val="both"/>
        <w:rPr>
          <w:rFonts w:ascii="Times New Roman" w:hAnsi="Times New Roman"/>
          <w:sz w:val="22"/>
        </w:rPr>
      </w:pPr>
      <w:r w:rsidRPr="004B2836">
        <w:rPr>
          <w:rFonts w:ascii="Times New Roman" w:hAnsi="Times New Roman"/>
          <w:sz w:val="22"/>
        </w:rPr>
        <w:t>Any prospective tenderers seeking to arrange individual meetings with either the contracting authority and/or the European Commission during the tender period may be excluded from the tender procedure.</w:t>
      </w:r>
    </w:p>
    <w:p w14:paraId="6F7CFDD9" w14:textId="7B19285F" w:rsidR="0047783A" w:rsidRPr="00AE1B18" w:rsidRDefault="00A633C6" w:rsidP="009956B4">
      <w:pPr>
        <w:pStyle w:val="Heading1"/>
        <w:rPr>
          <w:lang w:val="en-GB"/>
        </w:rPr>
      </w:pPr>
      <w:bookmarkStart w:id="20" w:name="_Toc42488083"/>
      <w:r w:rsidRPr="00AE1B18">
        <w:rPr>
          <w:lang w:val="en-GB"/>
        </w:rPr>
        <w:t xml:space="preserve">14. </w:t>
      </w:r>
      <w:r w:rsidR="0047783A" w:rsidRPr="00AE1B18">
        <w:rPr>
          <w:lang w:val="en-GB"/>
        </w:rPr>
        <w:t>Clarification meeting / site visit</w:t>
      </w:r>
      <w:bookmarkEnd w:id="20"/>
    </w:p>
    <w:p w14:paraId="4B2DAFE3" w14:textId="4B994E8C" w:rsidR="0047783A" w:rsidRPr="00AE1B18" w:rsidRDefault="0047783A" w:rsidP="00AC07D4">
      <w:pPr>
        <w:pStyle w:val="BodyText"/>
        <w:ind w:left="567" w:hanging="567"/>
        <w:rPr>
          <w:rFonts w:ascii="Times New Roman" w:hAnsi="Times New Roman"/>
          <w:sz w:val="22"/>
          <w:szCs w:val="22"/>
        </w:rPr>
      </w:pPr>
      <w:r w:rsidRPr="00AE1B18">
        <w:rPr>
          <w:rFonts w:ascii="Times New Roman" w:hAnsi="Times New Roman"/>
          <w:sz w:val="22"/>
          <w:szCs w:val="22"/>
        </w:rPr>
        <w:t>4.1</w:t>
      </w:r>
      <w:r w:rsidRPr="00AE1B18">
        <w:rPr>
          <w:rFonts w:ascii="Times New Roman" w:hAnsi="Times New Roman"/>
          <w:sz w:val="22"/>
          <w:szCs w:val="22"/>
        </w:rPr>
        <w:tab/>
        <w:t xml:space="preserve">No clarification meeting / site visit planned. Visits by individual prospective tenderers during the tender period cannot be organised. </w:t>
      </w:r>
    </w:p>
    <w:p w14:paraId="6214904C" w14:textId="054DEC2E" w:rsidR="0047783A" w:rsidRPr="001A2BC4" w:rsidRDefault="0047783A" w:rsidP="001A2BC4">
      <w:pPr>
        <w:pStyle w:val="Heading1"/>
        <w:numPr>
          <w:ilvl w:val="0"/>
          <w:numId w:val="4"/>
        </w:numPr>
        <w:rPr>
          <w:lang w:val="en-GB"/>
        </w:rPr>
      </w:pPr>
      <w:bookmarkStart w:id="21" w:name="_Toc42488084"/>
      <w:r w:rsidRPr="001A2BC4">
        <w:rPr>
          <w:lang w:val="en-GB"/>
        </w:rPr>
        <w:t>Alteration or withdrawal of tenders</w:t>
      </w:r>
      <w:bookmarkEnd w:id="21"/>
    </w:p>
    <w:p w14:paraId="31E0BA62" w14:textId="01B48155" w:rsidR="002F559C" w:rsidRPr="00AE1B18" w:rsidRDefault="002409FE" w:rsidP="003E3A6A">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0047783A" w:rsidRPr="00AE1B18">
        <w:rPr>
          <w:rFonts w:ascii="Times New Roman" w:hAnsi="Times New Roman"/>
          <w:sz w:val="22"/>
        </w:rPr>
        <w:t>15.</w:t>
      </w:r>
      <w:r w:rsidR="002F559C" w:rsidRPr="00AE1B18">
        <w:rPr>
          <w:rFonts w:ascii="Times New Roman" w:hAnsi="Times New Roman"/>
          <w:sz w:val="22"/>
        </w:rPr>
        <w:t>1</w:t>
      </w:r>
      <w:r w:rsidR="0047783A" w:rsidRPr="00AE1B18">
        <w:rPr>
          <w:rFonts w:ascii="Times New Roman" w:hAnsi="Times New Roman"/>
          <w:sz w:val="22"/>
        </w:rPr>
        <w:tab/>
      </w:r>
      <w:r w:rsidR="002F559C" w:rsidRPr="00AE1B18">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AE1B18">
        <w:rPr>
          <w:rFonts w:ascii="Times New Roman" w:hAnsi="Times New Roman"/>
          <w:sz w:val="22"/>
          <w:lang w:val="en-IE"/>
        </w:rPr>
        <w:t xml:space="preserve"> </w:t>
      </w:r>
      <w:r w:rsidR="002F559C" w:rsidRPr="00AE1B18">
        <w:rPr>
          <w:rFonts w:ascii="Times New Roman" w:hAnsi="Times New Roman"/>
          <w:sz w:val="22"/>
          <w:lang w:val="en-IE"/>
        </w:rPr>
        <w:tab/>
      </w:r>
    </w:p>
    <w:p w14:paraId="2F12C80F" w14:textId="22A52270" w:rsidR="0047783A" w:rsidRPr="00AE1B18" w:rsidRDefault="0047783A" w:rsidP="009956B4">
      <w:pPr>
        <w:pStyle w:val="Heading2"/>
        <w:keepNext w:val="0"/>
        <w:ind w:left="567"/>
        <w:jc w:val="both"/>
        <w:rPr>
          <w:rFonts w:ascii="Times New Roman" w:hAnsi="Times New Roman"/>
          <w:sz w:val="22"/>
          <w:szCs w:val="22"/>
          <w:lang w:val="en-GB"/>
        </w:rPr>
      </w:pPr>
      <w:r w:rsidRPr="00AE1B18">
        <w:rPr>
          <w:rFonts w:ascii="Times New Roman" w:hAnsi="Times New Roman"/>
          <w:sz w:val="22"/>
          <w:szCs w:val="22"/>
          <w:lang w:val="en-GB"/>
        </w:rPr>
        <w:t xml:space="preserve">Any such notification of alteration or withdrawal must be prepared and submitted in accordance with </w:t>
      </w:r>
      <w:r w:rsidR="000C6C88" w:rsidRPr="00AE1B18">
        <w:rPr>
          <w:rFonts w:ascii="Times New Roman" w:hAnsi="Times New Roman"/>
          <w:sz w:val="22"/>
          <w:szCs w:val="22"/>
          <w:lang w:val="en-GB"/>
        </w:rPr>
        <w:t>Section 10</w:t>
      </w:r>
      <w:r w:rsidRPr="00AE1B18">
        <w:rPr>
          <w:rFonts w:ascii="Times New Roman" w:hAnsi="Times New Roman"/>
          <w:sz w:val="22"/>
          <w:szCs w:val="22"/>
          <w:lang w:val="en-GB"/>
        </w:rPr>
        <w:t xml:space="preserve">. The outer envelope must be marked </w:t>
      </w:r>
      <w:r w:rsidR="006A5F84" w:rsidRPr="00AE1B18">
        <w:rPr>
          <w:rFonts w:ascii="Times New Roman" w:hAnsi="Times New Roman"/>
          <w:sz w:val="22"/>
          <w:szCs w:val="22"/>
          <w:lang w:val="en-GB"/>
        </w:rPr>
        <w:t>‘</w:t>
      </w:r>
      <w:r w:rsidRPr="00AE1B18">
        <w:rPr>
          <w:rFonts w:ascii="Times New Roman" w:hAnsi="Times New Roman"/>
          <w:sz w:val="22"/>
          <w:szCs w:val="22"/>
          <w:lang w:val="en-GB"/>
        </w:rPr>
        <w:t>Alteration</w:t>
      </w:r>
      <w:r w:rsidR="006A5F84" w:rsidRPr="00AE1B18">
        <w:rPr>
          <w:rFonts w:ascii="Times New Roman" w:hAnsi="Times New Roman"/>
          <w:sz w:val="22"/>
          <w:szCs w:val="22"/>
          <w:lang w:val="en-GB"/>
        </w:rPr>
        <w:t>’</w:t>
      </w:r>
      <w:r w:rsidRPr="00AE1B18">
        <w:rPr>
          <w:rFonts w:ascii="Times New Roman" w:hAnsi="Times New Roman"/>
          <w:sz w:val="22"/>
          <w:szCs w:val="22"/>
          <w:lang w:val="en-GB"/>
        </w:rPr>
        <w:t xml:space="preserve"> or </w:t>
      </w:r>
      <w:r w:rsidR="006A5F84" w:rsidRPr="00AE1B18">
        <w:rPr>
          <w:rFonts w:ascii="Times New Roman" w:hAnsi="Times New Roman"/>
          <w:sz w:val="22"/>
          <w:szCs w:val="22"/>
          <w:lang w:val="en-GB"/>
        </w:rPr>
        <w:t>‘</w:t>
      </w:r>
      <w:r w:rsidRPr="00AE1B18">
        <w:rPr>
          <w:rFonts w:ascii="Times New Roman" w:hAnsi="Times New Roman"/>
          <w:sz w:val="22"/>
          <w:szCs w:val="22"/>
          <w:lang w:val="en-GB"/>
        </w:rPr>
        <w:t>Withdrawal</w:t>
      </w:r>
      <w:r w:rsidR="006A5F84" w:rsidRPr="00AE1B18">
        <w:rPr>
          <w:rFonts w:ascii="Times New Roman" w:hAnsi="Times New Roman"/>
          <w:sz w:val="22"/>
          <w:szCs w:val="22"/>
          <w:lang w:val="en-GB"/>
        </w:rPr>
        <w:t>’</w:t>
      </w:r>
      <w:r w:rsidRPr="00AE1B18">
        <w:rPr>
          <w:rFonts w:ascii="Times New Roman" w:hAnsi="Times New Roman"/>
          <w:sz w:val="22"/>
          <w:szCs w:val="22"/>
          <w:lang w:val="en-GB"/>
        </w:rPr>
        <w:t xml:space="preserve"> as appropriate.</w:t>
      </w:r>
    </w:p>
    <w:p w14:paraId="7E91B778" w14:textId="57DFA46D"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14:paraId="3738767F" w14:textId="2FAB4988" w:rsidR="0047783A" w:rsidRPr="001A2BC4" w:rsidRDefault="00A633C6" w:rsidP="009956B4">
      <w:pPr>
        <w:pStyle w:val="Heading1"/>
        <w:rPr>
          <w:lang w:val="en-GB"/>
        </w:rPr>
      </w:pPr>
      <w:bookmarkStart w:id="22" w:name="_Toc42488085"/>
      <w:r>
        <w:rPr>
          <w:lang w:val="en-GB"/>
        </w:rPr>
        <w:t xml:space="preserve">16. </w:t>
      </w:r>
      <w:r w:rsidR="0047783A" w:rsidRPr="001A2BC4">
        <w:rPr>
          <w:lang w:val="en-GB"/>
        </w:rPr>
        <w:t>Costs of preparing tenders</w:t>
      </w:r>
      <w:bookmarkEnd w:id="22"/>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1A2BC4" w:rsidRDefault="00A633C6" w:rsidP="009956B4">
      <w:pPr>
        <w:pStyle w:val="Heading1"/>
        <w:rPr>
          <w:lang w:val="en-GB"/>
        </w:rPr>
      </w:pPr>
      <w:r>
        <w:rPr>
          <w:lang w:val="en-GB"/>
        </w:rPr>
        <w:t xml:space="preserve">17. </w:t>
      </w:r>
      <w:bookmarkStart w:id="23" w:name="_Toc42488086"/>
      <w:r w:rsidR="0047783A" w:rsidRPr="001A2BC4">
        <w:rPr>
          <w:lang w:val="en-GB"/>
        </w:rPr>
        <w:t>Ownership of tenders</w:t>
      </w:r>
      <w:bookmarkEnd w:id="23"/>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9956B4">
      <w:pPr>
        <w:pStyle w:val="Heading1"/>
        <w:rPr>
          <w:lang w:val="en-GB"/>
        </w:rPr>
      </w:pPr>
      <w:bookmarkStart w:id="24" w:name="_Toc42488087"/>
      <w:r>
        <w:rPr>
          <w:lang w:val="en-GB"/>
        </w:rPr>
        <w:lastRenderedPageBreak/>
        <w:t xml:space="preserve">18. </w:t>
      </w:r>
      <w:r w:rsidR="0047783A" w:rsidRPr="001A2BC4">
        <w:rPr>
          <w:lang w:val="en-GB"/>
        </w:rPr>
        <w:t>Joint venture or consortium</w:t>
      </w:r>
      <w:bookmarkEnd w:id="24"/>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2F10EC9B" w14:textId="65193D85" w:rsidR="0047783A" w:rsidRPr="001A2BC4" w:rsidRDefault="00A633C6" w:rsidP="009956B4">
      <w:pPr>
        <w:pStyle w:val="Heading1"/>
        <w:rPr>
          <w:lang w:val="en-GB"/>
        </w:rPr>
      </w:pPr>
      <w:bookmarkStart w:id="25" w:name="_Toc42488088"/>
      <w:r>
        <w:rPr>
          <w:lang w:val="en-GB"/>
        </w:rPr>
        <w:t xml:space="preserve">19. </w:t>
      </w:r>
      <w:r w:rsidR="0047783A" w:rsidRPr="001A2BC4">
        <w:rPr>
          <w:lang w:val="en-GB"/>
        </w:rPr>
        <w:t>Opening of tenders</w:t>
      </w:r>
      <w:bookmarkEnd w:id="25"/>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3FFE1567" w:rsidR="0000259F" w:rsidRDefault="0047783A" w:rsidP="0000259F">
      <w:pPr>
        <w:pStyle w:val="Heading2"/>
        <w:ind w:left="567" w:hanging="567"/>
        <w:jc w:val="both"/>
        <w:rPr>
          <w:rFonts w:ascii="Times New Roman" w:hAnsi="Times New Roman"/>
          <w:sz w:val="22"/>
          <w:lang w:val="en-GB"/>
        </w:rPr>
      </w:pPr>
      <w:r w:rsidRPr="00336EF5">
        <w:rPr>
          <w:rFonts w:ascii="Times New Roman" w:hAnsi="Times New Roman"/>
          <w:sz w:val="22"/>
          <w:lang w:val="en-GB"/>
        </w:rPr>
        <w:t>19.2</w:t>
      </w:r>
      <w:r w:rsidRPr="00336EF5">
        <w:rPr>
          <w:rFonts w:ascii="Times New Roman" w:hAnsi="Times New Roman"/>
          <w:sz w:val="22"/>
          <w:lang w:val="en-GB"/>
        </w:rPr>
        <w:tab/>
      </w:r>
      <w:r w:rsidR="000C6C88" w:rsidRPr="00336EF5">
        <w:rPr>
          <w:rFonts w:ascii="Times New Roman" w:hAnsi="Times New Roman"/>
          <w:sz w:val="22"/>
          <w:lang w:val="en-GB"/>
        </w:rPr>
        <w:t>The d</w:t>
      </w:r>
      <w:r w:rsidR="0000259F" w:rsidRPr="00336EF5">
        <w:rPr>
          <w:rFonts w:ascii="Times New Roman" w:hAnsi="Times New Roman"/>
          <w:sz w:val="22"/>
          <w:lang w:val="en-GB"/>
        </w:rPr>
        <w:t>ate and venue of the tender opening session</w:t>
      </w:r>
      <w:r w:rsidR="000C6C88" w:rsidRPr="00336EF5">
        <w:rPr>
          <w:rFonts w:ascii="Times New Roman" w:hAnsi="Times New Roman"/>
          <w:sz w:val="22"/>
          <w:lang w:val="en-GB"/>
        </w:rPr>
        <w:t xml:space="preserve"> is</w:t>
      </w:r>
      <w:r w:rsidR="00336EF5" w:rsidRPr="00336EF5">
        <w:rPr>
          <w:rFonts w:ascii="Times New Roman" w:hAnsi="Times New Roman"/>
          <w:sz w:val="22"/>
          <w:lang w:val="en-GB"/>
        </w:rPr>
        <w:t>:</w:t>
      </w:r>
    </w:p>
    <w:p w14:paraId="3E5B3FFC" w14:textId="35927278" w:rsidR="00336EF5" w:rsidRPr="00AA3E2F" w:rsidRDefault="00336EF5" w:rsidP="00276537">
      <w:pPr>
        <w:ind w:firstLine="567"/>
        <w:rPr>
          <w:rFonts w:ascii="Times New Roman" w:hAnsi="Times New Roman"/>
          <w:sz w:val="22"/>
          <w:szCs w:val="22"/>
        </w:rPr>
      </w:pPr>
      <w:r w:rsidRPr="00AA3E2F">
        <w:rPr>
          <w:rFonts w:ascii="Times New Roman" w:hAnsi="Times New Roman"/>
          <w:sz w:val="22"/>
          <w:szCs w:val="22"/>
        </w:rPr>
        <w:t xml:space="preserve">Date: </w:t>
      </w:r>
      <w:r w:rsidR="00AB1847">
        <w:rPr>
          <w:rFonts w:ascii="Times New Roman" w:hAnsi="Times New Roman"/>
          <w:sz w:val="22"/>
          <w:szCs w:val="22"/>
        </w:rPr>
        <w:t>01</w:t>
      </w:r>
      <w:r w:rsidR="002753F3">
        <w:rPr>
          <w:rFonts w:ascii="Times New Roman" w:hAnsi="Times New Roman"/>
          <w:sz w:val="22"/>
          <w:szCs w:val="22"/>
        </w:rPr>
        <w:t>/12</w:t>
      </w:r>
      <w:r w:rsidR="0049562D" w:rsidRPr="00B54847">
        <w:rPr>
          <w:rFonts w:ascii="Times New Roman" w:hAnsi="Times New Roman"/>
          <w:sz w:val="22"/>
          <w:szCs w:val="22"/>
        </w:rPr>
        <w:t>/2025</w:t>
      </w:r>
      <w:r w:rsidRPr="00AA3E2F">
        <w:rPr>
          <w:rFonts w:ascii="Times New Roman" w:hAnsi="Times New Roman"/>
          <w:sz w:val="22"/>
          <w:szCs w:val="22"/>
        </w:rPr>
        <w:t>, 1</w:t>
      </w:r>
      <w:r w:rsidR="00C326A0">
        <w:rPr>
          <w:rFonts w:ascii="Times New Roman" w:hAnsi="Times New Roman"/>
          <w:sz w:val="22"/>
          <w:szCs w:val="22"/>
        </w:rPr>
        <w:t>1</w:t>
      </w:r>
      <w:r w:rsidRPr="00AA3E2F">
        <w:rPr>
          <w:rFonts w:ascii="Times New Roman" w:hAnsi="Times New Roman"/>
          <w:sz w:val="22"/>
          <w:szCs w:val="22"/>
        </w:rPr>
        <w:t>:00h</w:t>
      </w:r>
    </w:p>
    <w:p w14:paraId="27A2A719" w14:textId="52925740" w:rsidR="00336EF5" w:rsidRPr="00336EF5" w:rsidRDefault="001226A0" w:rsidP="001226A0">
      <w:pPr>
        <w:ind w:left="567"/>
        <w:rPr>
          <w:rFonts w:ascii="Times New Roman" w:hAnsi="Times New Roman"/>
          <w:sz w:val="22"/>
          <w:szCs w:val="22"/>
          <w:lang w:val="en-US"/>
        </w:rPr>
      </w:pPr>
      <w:r w:rsidRPr="001226A0">
        <w:rPr>
          <w:rFonts w:ascii="Times New Roman" w:hAnsi="Times New Roman"/>
          <w:b/>
          <w:sz w:val="22"/>
        </w:rPr>
        <w:t>Provincial Secretariat for Urban Planning and Environmental Protection, Bulevar Mihajla Pupina, 16, 21101 Novi Sad, Republic of Serbia</w:t>
      </w:r>
    </w:p>
    <w:p w14:paraId="267EE4B7" w14:textId="77777777" w:rsidR="000E64B0" w:rsidRPr="003E2865" w:rsidRDefault="000E64B0" w:rsidP="001A2BC4">
      <w:pPr>
        <w:pStyle w:val="Heading2"/>
        <w:keepNext w:val="0"/>
        <w:ind w:left="567"/>
        <w:jc w:val="both"/>
        <w:rPr>
          <w:rFonts w:ascii="Times New Roman" w:hAnsi="Times New Roman"/>
          <w:sz w:val="22"/>
          <w:lang w:val="en-GB"/>
        </w:rPr>
      </w:pPr>
      <w:r w:rsidRPr="003E2865">
        <w:rPr>
          <w:rFonts w:ascii="Times New Roman" w:hAnsi="Times New Roman"/>
          <w:sz w:val="22"/>
          <w:lang w:val="en-GB"/>
        </w:rPr>
        <w:t>Please note that participation at the tender opening session is restricted to authorised representatives of the companies that are tendering for the contract. Each representative will have to submit the document of authorisation.</w:t>
      </w:r>
    </w:p>
    <w:p w14:paraId="53EB2A2E" w14:textId="3F43C8E6" w:rsidR="0047783A" w:rsidRPr="00AE1B18" w:rsidRDefault="0047783A" w:rsidP="001A2BC4">
      <w:pPr>
        <w:pStyle w:val="Heading2"/>
        <w:keepNext w:val="0"/>
        <w:ind w:left="567"/>
        <w:jc w:val="both"/>
        <w:rPr>
          <w:rFonts w:ascii="Times New Roman" w:hAnsi="Times New Roman"/>
          <w:sz w:val="22"/>
          <w:lang w:val="en-GB"/>
        </w:rPr>
      </w:pPr>
      <w:r w:rsidRPr="00AE1B18">
        <w:rPr>
          <w:rFonts w:ascii="Times New Roman" w:hAnsi="Times New Roman"/>
          <w:sz w:val="22"/>
          <w:lang w:val="en-GB"/>
        </w:rPr>
        <w:t>The committee will draw up minutes of the meeting, which will be available on request.</w:t>
      </w:r>
    </w:p>
    <w:p w14:paraId="7FBE10F5" w14:textId="24268D8A" w:rsidR="00A5438F" w:rsidRPr="00AE1B18" w:rsidRDefault="00A5438F" w:rsidP="00FC6A15">
      <w:pPr>
        <w:ind w:left="567"/>
        <w:jc w:val="both"/>
        <w:rPr>
          <w:rFonts w:ascii="Times New Roman" w:hAnsi="Times New Roman"/>
          <w:sz w:val="22"/>
        </w:rPr>
      </w:pPr>
      <w:r w:rsidRPr="00AE1B18">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AE1B18">
        <w:rPr>
          <w:rFonts w:ascii="Times New Roman" w:hAnsi="Times New Roman"/>
          <w:sz w:val="22"/>
        </w:rPr>
        <w:t>.</w:t>
      </w:r>
      <w:r w:rsidR="000C6C88" w:rsidRPr="00AE1B18" w:rsidDel="000C6C88">
        <w:rPr>
          <w:rFonts w:ascii="Times New Roman" w:hAnsi="Times New Roman"/>
          <w:sz w:val="22"/>
        </w:rPr>
        <w:t xml:space="preserve"> </w:t>
      </w:r>
    </w:p>
    <w:p w14:paraId="399D7693" w14:textId="77777777" w:rsidR="0047783A" w:rsidRPr="00AE1B18" w:rsidRDefault="0047783A" w:rsidP="001A2BC4">
      <w:pPr>
        <w:ind w:left="567" w:hanging="567"/>
        <w:jc w:val="both"/>
        <w:rPr>
          <w:rFonts w:ascii="Times New Roman" w:hAnsi="Times New Roman"/>
          <w:sz w:val="22"/>
        </w:rPr>
      </w:pPr>
      <w:r w:rsidRPr="00AE1B18">
        <w:rPr>
          <w:rFonts w:ascii="Times New Roman" w:hAnsi="Times New Roman"/>
          <w:sz w:val="22"/>
        </w:rPr>
        <w:t>19.3</w:t>
      </w:r>
      <w:r w:rsidRPr="00AE1B18">
        <w:rPr>
          <w:rFonts w:ascii="Times New Roman" w:hAnsi="Times New Roman"/>
          <w:sz w:val="22"/>
        </w:rPr>
        <w:tab/>
        <w:t>At the tender opening, the tenderers</w:t>
      </w:r>
      <w:r w:rsidR="006A5F84" w:rsidRPr="00AE1B18">
        <w:rPr>
          <w:rFonts w:ascii="Times New Roman" w:hAnsi="Times New Roman"/>
          <w:sz w:val="22"/>
        </w:rPr>
        <w:t>’</w:t>
      </w:r>
      <w:r w:rsidRPr="00AE1B18">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AE1B18">
        <w:rPr>
          <w:rFonts w:ascii="Times New Roman" w:hAnsi="Times New Roman"/>
          <w:sz w:val="22"/>
        </w:rPr>
        <w:t>c</w:t>
      </w:r>
      <w:r w:rsidRPr="00AE1B18">
        <w:rPr>
          <w:rFonts w:ascii="Times New Roman" w:hAnsi="Times New Roman"/>
          <w:sz w:val="22"/>
        </w:rPr>
        <w:t xml:space="preserve">ontracting </w:t>
      </w:r>
      <w:r w:rsidR="00DD6678" w:rsidRPr="00AE1B18">
        <w:rPr>
          <w:rFonts w:ascii="Times New Roman" w:hAnsi="Times New Roman"/>
          <w:sz w:val="22"/>
        </w:rPr>
        <w:t>a</w:t>
      </w:r>
      <w:r w:rsidRPr="00AE1B18">
        <w:rPr>
          <w:rFonts w:ascii="Times New Roman" w:hAnsi="Times New Roman"/>
          <w:sz w:val="22"/>
        </w:rPr>
        <w:t>uthority may consider appropriate may be announced.</w:t>
      </w:r>
    </w:p>
    <w:p w14:paraId="68DAAAB5" w14:textId="268B3B95" w:rsidR="0047783A" w:rsidRPr="00E82463" w:rsidRDefault="0047783A" w:rsidP="0047783A">
      <w:pPr>
        <w:pStyle w:val="Heading2"/>
        <w:keepNext w:val="0"/>
        <w:ind w:left="567" w:hanging="567"/>
        <w:jc w:val="both"/>
        <w:rPr>
          <w:rFonts w:ascii="Times New Roman" w:hAnsi="Times New Roman"/>
          <w:sz w:val="22"/>
          <w:lang w:val="en-GB"/>
        </w:rPr>
      </w:pPr>
      <w:r w:rsidRPr="00AE1B18">
        <w:rPr>
          <w:rFonts w:ascii="Times New Roman" w:hAnsi="Times New Roman"/>
          <w:sz w:val="22"/>
          <w:lang w:val="en-GB"/>
        </w:rPr>
        <w:t>19.4</w:t>
      </w:r>
      <w:r w:rsidRPr="00AE1B18">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lastRenderedPageBreak/>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1A2BC4" w:rsidRDefault="00A633C6" w:rsidP="009956B4">
      <w:pPr>
        <w:pStyle w:val="Heading1"/>
        <w:rPr>
          <w:lang w:val="en-GB"/>
        </w:rPr>
      </w:pPr>
      <w:bookmarkStart w:id="26" w:name="_Toc42488089"/>
      <w:r>
        <w:rPr>
          <w:lang w:val="en-GB"/>
        </w:rPr>
        <w:t xml:space="preserve">20. </w:t>
      </w:r>
      <w:r w:rsidR="0047783A" w:rsidRPr="001A2BC4">
        <w:rPr>
          <w:lang w:val="en-GB"/>
        </w:rPr>
        <w:t>Evaluation of tenders</w:t>
      </w:r>
      <w:bookmarkEnd w:id="26"/>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7"/>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lastRenderedPageBreak/>
        <w:t>b)</w:t>
      </w:r>
      <w:r w:rsidRPr="00E82463">
        <w:rPr>
          <w:rFonts w:ascii="Times New Roman" w:hAnsi="Times New Roman"/>
          <w:sz w:val="22"/>
        </w:rPr>
        <w:tab/>
        <w:t>Amounts corrected in this way will be binding on the tenderer. If the tenderer does not accept them, its tender will be rejected.</w:t>
      </w:r>
    </w:p>
    <w:p w14:paraId="5D911846"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14:paraId="225D2214"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AE1B18" w:rsidRDefault="0047783A" w:rsidP="00FC6A15">
      <w:pPr>
        <w:ind w:left="567"/>
        <w:jc w:val="both"/>
      </w:pPr>
      <w:r w:rsidRPr="00AE1B18">
        <w:rPr>
          <w:rFonts w:ascii="Times New Roman" w:hAnsi="Times New Roman"/>
          <w:sz w:val="22"/>
        </w:rPr>
        <w:t>Variant solutions will not be taken into consideration.</w:t>
      </w:r>
    </w:p>
    <w:p w14:paraId="61B04D9B" w14:textId="77777777" w:rsidR="0047783A" w:rsidRPr="00AE1B18" w:rsidRDefault="0047783A" w:rsidP="0047783A">
      <w:pPr>
        <w:pStyle w:val="Heading2"/>
        <w:ind w:left="567" w:hanging="567"/>
        <w:jc w:val="both"/>
        <w:rPr>
          <w:rFonts w:ascii="Times New Roman" w:hAnsi="Times New Roman"/>
          <w:sz w:val="22"/>
          <w:lang w:val="en-GB"/>
        </w:rPr>
      </w:pPr>
      <w:r w:rsidRPr="00AE1B18">
        <w:rPr>
          <w:rFonts w:ascii="Times New Roman" w:hAnsi="Times New Roman"/>
          <w:sz w:val="22"/>
          <w:lang w:val="en-GB"/>
        </w:rPr>
        <w:t>20.6</w:t>
      </w:r>
      <w:r w:rsidRPr="00AE1B18">
        <w:rPr>
          <w:rFonts w:ascii="Times New Roman" w:hAnsi="Times New Roman"/>
          <w:sz w:val="22"/>
          <w:lang w:val="en-GB"/>
        </w:rPr>
        <w:tab/>
        <w:t>Award criteria</w:t>
      </w:r>
    </w:p>
    <w:p w14:paraId="12EABB3E" w14:textId="6F6F4079" w:rsidR="0048742A" w:rsidRPr="00AE1B18" w:rsidRDefault="0047783A" w:rsidP="00AE1B18">
      <w:pPr>
        <w:ind w:left="567" w:firstLine="11"/>
        <w:jc w:val="both"/>
        <w:outlineLvl w:val="0"/>
        <w:rPr>
          <w:rFonts w:ascii="Times New Roman" w:hAnsi="Times New Roman"/>
        </w:rPr>
      </w:pPr>
      <w:r w:rsidRPr="00AE1B18">
        <w:rPr>
          <w:rFonts w:ascii="Times New Roman" w:hAnsi="Times New Roman"/>
          <w:sz w:val="22"/>
        </w:rPr>
        <w:t>The sole award criterion will be the price. The contract will be awarded to the lowest compliant tender.</w:t>
      </w:r>
    </w:p>
    <w:p w14:paraId="1E6B308A" w14:textId="522481F7" w:rsidR="0048742A" w:rsidRPr="00A56251" w:rsidRDefault="0048742A" w:rsidP="009956B4">
      <w:pPr>
        <w:numPr>
          <w:ilvl w:val="1"/>
          <w:numId w:val="30"/>
        </w:numPr>
        <w:jc w:val="both"/>
        <w:rPr>
          <w:rFonts w:ascii="Times New Roman" w:hAnsi="Times New Roman"/>
          <w:sz w:val="22"/>
          <w:szCs w:val="22"/>
        </w:rPr>
      </w:pPr>
      <w:r w:rsidRPr="009956B4">
        <w:rPr>
          <w:rFonts w:ascii="Times New Roman" w:hAnsi="Times New Roman"/>
          <w:sz w:val="22"/>
          <w:szCs w:val="22"/>
        </w:rPr>
        <w:t>Documentary evidence for exclusion and selection criteria</w:t>
      </w:r>
    </w:p>
    <w:p w14:paraId="2BCEDC6D" w14:textId="01ECCAFD" w:rsidR="001719EB" w:rsidRPr="00AE1B18" w:rsidRDefault="0048742A" w:rsidP="009956B4">
      <w:pPr>
        <w:jc w:val="both"/>
        <w:rPr>
          <w:rFonts w:ascii="Times New Roman" w:hAnsi="Times New Roman"/>
          <w:color w:val="000000"/>
          <w:sz w:val="22"/>
          <w:szCs w:val="22"/>
          <w:lang w:val="en-IE"/>
        </w:rPr>
      </w:pPr>
      <w:r w:rsidRPr="00AE1B18">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AE1B18">
        <w:rPr>
          <w:rFonts w:ascii="Times New Roman" w:hAnsi="Times New Roman"/>
          <w:sz w:val="22"/>
          <w:szCs w:val="22"/>
          <w:lang w:val="en-IE"/>
        </w:rPr>
        <w:t xml:space="preserve"> (</w:t>
      </w:r>
      <w:r w:rsidR="00124409" w:rsidRPr="00AE1B18">
        <w:rPr>
          <w:rFonts w:ascii="Times New Roman" w:hAnsi="Times New Roman"/>
          <w:sz w:val="22"/>
          <w:szCs w:val="22"/>
        </w:rPr>
        <w:t>financial, economic, technical and professional capacity)</w:t>
      </w:r>
      <w:r w:rsidRPr="00AE1B18">
        <w:rPr>
          <w:rFonts w:ascii="Times New Roman" w:hAnsi="Times New Roman"/>
          <w:sz w:val="22"/>
          <w:szCs w:val="22"/>
          <w:lang w:val="en-IE"/>
        </w:rPr>
        <w:t xml:space="preserve"> set out in these instructions. Please note that a request for evidence in no way implies that the tenderer has been successful. </w:t>
      </w:r>
      <w:r w:rsidRPr="00AE1B18">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AE1B18">
        <w:rPr>
          <w:rFonts w:ascii="Times New Roman" w:hAnsi="Times New Roman"/>
          <w:sz w:val="22"/>
          <w:szCs w:val="22"/>
          <w:lang w:val="en-IE"/>
        </w:rPr>
        <w:t>. In any event</w:t>
      </w:r>
      <w:r w:rsidR="00ED0949" w:rsidRPr="00AE1B18">
        <w:rPr>
          <w:rFonts w:ascii="Times New Roman" w:hAnsi="Times New Roman"/>
          <w:sz w:val="22"/>
          <w:szCs w:val="22"/>
          <w:lang w:val="en-IE"/>
        </w:rPr>
        <w:t>,</w:t>
      </w:r>
      <w:r w:rsidRPr="00AE1B18">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77777777" w:rsidR="0048742A" w:rsidRPr="00AE1B18" w:rsidRDefault="0048742A" w:rsidP="009956B4">
      <w:pPr>
        <w:jc w:val="both"/>
        <w:rPr>
          <w:rFonts w:ascii="Times New Roman" w:hAnsi="Times New Roman"/>
          <w:sz w:val="22"/>
          <w:szCs w:val="22"/>
        </w:rPr>
      </w:pPr>
      <w:r w:rsidRPr="00AE1B18">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4AA2AD90" w14:textId="683FC5FD"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AE1B18" w:rsidRDefault="00124409" w:rsidP="00124409">
      <w:pPr>
        <w:jc w:val="both"/>
        <w:rPr>
          <w:rFonts w:ascii="Times New Roman" w:hAnsi="Times New Roman"/>
          <w:sz w:val="22"/>
          <w:szCs w:val="22"/>
        </w:rPr>
      </w:pPr>
      <w:r w:rsidRPr="00AE1B18">
        <w:rPr>
          <w:rFonts w:ascii="Times New Roman" w:hAnsi="Times New Roman"/>
          <w:sz w:val="22"/>
          <w:szCs w:val="22"/>
        </w:rPr>
        <w:t>The above-mentioned docume</w:t>
      </w:r>
      <w:r w:rsidR="00531CAA" w:rsidRPr="00AE1B18">
        <w:rPr>
          <w:rFonts w:ascii="Times New Roman" w:hAnsi="Times New Roman"/>
          <w:sz w:val="22"/>
          <w:szCs w:val="22"/>
        </w:rPr>
        <w:t xml:space="preserve">nts must be submitted for </w:t>
      </w:r>
      <w:r w:rsidRPr="00AE1B18">
        <w:rPr>
          <w:rFonts w:ascii="Times New Roman" w:hAnsi="Times New Roman"/>
          <w:sz w:val="22"/>
          <w:szCs w:val="22"/>
        </w:rPr>
        <w:t>every member of a joint venture/consortium, all subcontractors and every capacity providing entit</w:t>
      </w:r>
      <w:r w:rsidR="00531CAA" w:rsidRPr="00AE1B18">
        <w:rPr>
          <w:rFonts w:ascii="Times New Roman" w:hAnsi="Times New Roman"/>
          <w:sz w:val="22"/>
          <w:szCs w:val="22"/>
        </w:rPr>
        <w:t>y</w:t>
      </w:r>
      <w:r w:rsidRPr="00AE1B18">
        <w:rPr>
          <w:rFonts w:ascii="Times New Roman" w:hAnsi="Times New Roman"/>
          <w:sz w:val="22"/>
          <w:szCs w:val="22"/>
        </w:rPr>
        <w:t xml:space="preserve">. </w:t>
      </w:r>
    </w:p>
    <w:p w14:paraId="5DE9377D" w14:textId="19BB92C7"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1D21C259" w14:textId="77777777" w:rsidR="0048742A" w:rsidRPr="00AE1B18" w:rsidRDefault="0048742A" w:rsidP="009956B4">
      <w:pPr>
        <w:jc w:val="both"/>
        <w:outlineLvl w:val="0"/>
        <w:rPr>
          <w:rFonts w:ascii="Times New Roman" w:hAnsi="Times New Roman"/>
          <w:sz w:val="22"/>
          <w:szCs w:val="22"/>
          <w:lang w:val="en-IE"/>
        </w:rPr>
      </w:pPr>
      <w:r w:rsidRPr="00AE1B18">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31D5299C" w14:textId="733BA555" w:rsidR="0048742A" w:rsidRPr="0048742A" w:rsidRDefault="0048742A" w:rsidP="00AE1B18">
      <w:pPr>
        <w:jc w:val="both"/>
        <w:rPr>
          <w:rFonts w:ascii="Times New Roman" w:hAnsi="Times New Roman"/>
          <w:sz w:val="22"/>
          <w:szCs w:val="22"/>
        </w:rPr>
      </w:pPr>
      <w:r w:rsidRPr="00AE1B18">
        <w:rPr>
          <w:rFonts w:ascii="Times New Roman" w:hAnsi="Times New Roman"/>
          <w:sz w:val="22"/>
          <w:szCs w:val="22"/>
        </w:rPr>
        <w:lastRenderedPageBreak/>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1A2BC4" w:rsidRDefault="00EA1ADC" w:rsidP="009956B4">
      <w:pPr>
        <w:pStyle w:val="Heading1"/>
        <w:rPr>
          <w:lang w:val="en-GB"/>
        </w:rPr>
      </w:pPr>
      <w:bookmarkStart w:id="28" w:name="_Toc41467298"/>
      <w:bookmarkStart w:id="29" w:name="_Toc42488090"/>
      <w:r w:rsidRPr="001A2BC4">
        <w:rPr>
          <w:lang w:val="en-GB"/>
        </w:rPr>
        <w:t>22.</w:t>
      </w:r>
      <w:r w:rsidRPr="001A2BC4">
        <w:rPr>
          <w:lang w:val="en-GB"/>
        </w:rPr>
        <w:tab/>
      </w:r>
      <w:r w:rsidR="0047783A" w:rsidRPr="001A2BC4">
        <w:rPr>
          <w:lang w:val="en-GB"/>
        </w:rPr>
        <w:t>Signature of the contract and performance guarantee</w:t>
      </w:r>
      <w:bookmarkStart w:id="30" w:name="_Ref500418776"/>
      <w:bookmarkEnd w:id="28"/>
      <w:bookmarkEnd w:id="29"/>
    </w:p>
    <w:p w14:paraId="2DC2476A" w14:textId="22D332A5"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by more than 25</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Heading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bookmarkEnd w:id="30"/>
    <w:p w14:paraId="09EC1B19" w14:textId="16CD088B"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41D84CA6" w14:textId="5F6B77FF" w:rsidR="0047783A" w:rsidRPr="00E07D2A" w:rsidRDefault="0047783A" w:rsidP="0047783A">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w:t>
      </w:r>
      <w:r w:rsidR="00EA1ADC" w:rsidRPr="00E07D2A">
        <w:rPr>
          <w:rFonts w:ascii="Times New Roman" w:hAnsi="Times New Roman"/>
          <w:sz w:val="22"/>
          <w:szCs w:val="22"/>
        </w:rPr>
        <w:t>2</w:t>
      </w:r>
      <w:r w:rsidRPr="00E07D2A">
        <w:rPr>
          <w:rFonts w:ascii="Times New Roman" w:hAnsi="Times New Roman"/>
          <w:sz w:val="22"/>
          <w:szCs w:val="22"/>
        </w:rPr>
        <w:t>.</w:t>
      </w:r>
      <w:r w:rsidR="00032EDE" w:rsidRPr="00E07D2A">
        <w:rPr>
          <w:rFonts w:ascii="Times New Roman" w:hAnsi="Times New Roman"/>
          <w:sz w:val="22"/>
          <w:szCs w:val="22"/>
        </w:rPr>
        <w:t>4</w:t>
      </w:r>
      <w:r w:rsidRPr="00E07D2A">
        <w:rPr>
          <w:rFonts w:ascii="Times New Roman" w:hAnsi="Times New Roman"/>
        </w:rPr>
        <w:tab/>
      </w:r>
      <w:r w:rsidRPr="00E07D2A">
        <w:rPr>
          <w:rFonts w:ascii="Times New Roman" w:hAnsi="Times New Roman"/>
          <w:sz w:val="22"/>
        </w:rPr>
        <w:t xml:space="preserve">The performance guarantee referred to in the </w:t>
      </w:r>
      <w:r w:rsidR="000D5F1B" w:rsidRPr="00E07D2A">
        <w:rPr>
          <w:rFonts w:ascii="Times New Roman" w:hAnsi="Times New Roman"/>
          <w:sz w:val="22"/>
        </w:rPr>
        <w:t>g</w:t>
      </w:r>
      <w:r w:rsidRPr="00E07D2A">
        <w:rPr>
          <w:rFonts w:ascii="Times New Roman" w:hAnsi="Times New Roman"/>
          <w:sz w:val="22"/>
        </w:rPr>
        <w:t xml:space="preserve">eneral </w:t>
      </w:r>
      <w:r w:rsidR="000D5F1B" w:rsidRPr="00E07D2A">
        <w:rPr>
          <w:rFonts w:ascii="Times New Roman" w:hAnsi="Times New Roman"/>
          <w:sz w:val="22"/>
        </w:rPr>
        <w:t>c</w:t>
      </w:r>
      <w:r w:rsidRPr="00E07D2A">
        <w:rPr>
          <w:rFonts w:ascii="Times New Roman" w:hAnsi="Times New Roman"/>
          <w:sz w:val="22"/>
        </w:rPr>
        <w:t xml:space="preserve">onditions is set </w:t>
      </w:r>
      <w:r w:rsidRPr="00AE1B18">
        <w:rPr>
          <w:rFonts w:ascii="Times New Roman" w:hAnsi="Times New Roman"/>
          <w:sz w:val="22"/>
        </w:rPr>
        <w:t xml:space="preserve">at </w:t>
      </w:r>
      <w:r w:rsidR="00A11437" w:rsidRPr="00AE1B18">
        <w:rPr>
          <w:rFonts w:ascii="Times New Roman" w:hAnsi="Times New Roman"/>
          <w:sz w:val="22"/>
          <w:szCs w:val="22"/>
        </w:rPr>
        <w:t>10</w:t>
      </w:r>
      <w:r w:rsidR="00A11437" w:rsidRPr="00AE1B18">
        <w:rPr>
          <w:rFonts w:ascii="Times New Roman" w:hAnsi="Times New Roman"/>
          <w:sz w:val="22"/>
        </w:rPr>
        <w:t>%</w:t>
      </w:r>
      <w:r w:rsidRPr="00E07D2A">
        <w:rPr>
          <w:rFonts w:ascii="Times New Roman" w:hAnsi="Times New Roman"/>
          <w:sz w:val="22"/>
        </w:rPr>
        <w:t xml:space="preserve"> of the amount of the contract</w:t>
      </w:r>
      <w:r w:rsidR="00E07D2A" w:rsidRPr="00E07D2A">
        <w:rPr>
          <w:rFonts w:ascii="Times New Roman" w:hAnsi="Times New Roman"/>
          <w:sz w:val="22"/>
        </w:rPr>
        <w:t>. T</w:t>
      </w:r>
      <w:r w:rsidR="00E07D2A" w:rsidRPr="00A633C6">
        <w:rPr>
          <w:rFonts w:ascii="Times New Roman" w:hAnsi="Times New Roman"/>
          <w:sz w:val="22"/>
        </w:rPr>
        <w:t>he performance guarantee</w:t>
      </w:r>
      <w:r w:rsidRPr="00A633C6">
        <w:rPr>
          <w:rFonts w:ascii="Times New Roman" w:hAnsi="Times New Roman"/>
          <w:sz w:val="22"/>
        </w:rPr>
        <w:t xml:space="preserve"> must be presented in the form specified in the annex to the tender dossier. It will be released within </w:t>
      </w:r>
      <w:r w:rsidR="007533EA" w:rsidRPr="007C4F61">
        <w:rPr>
          <w:rFonts w:ascii="Times New Roman" w:hAnsi="Times New Roman"/>
          <w:sz w:val="22"/>
        </w:rPr>
        <w:t>60</w:t>
      </w:r>
      <w:r w:rsidRPr="00A633C6">
        <w:rPr>
          <w:rFonts w:ascii="Times New Roman" w:hAnsi="Times New Roman"/>
          <w:sz w:val="22"/>
        </w:rPr>
        <w:t xml:space="preserve"> days of the issue of the final acceptance certificate by the </w:t>
      </w:r>
      <w:r w:rsidR="000D5F1B" w:rsidRPr="00A633C6">
        <w:rPr>
          <w:rFonts w:ascii="Times New Roman" w:hAnsi="Times New Roman"/>
          <w:sz w:val="22"/>
        </w:rPr>
        <w:t>c</w:t>
      </w:r>
      <w:r w:rsidRPr="00A633C6">
        <w:rPr>
          <w:rFonts w:ascii="Times New Roman" w:hAnsi="Times New Roman"/>
          <w:sz w:val="22"/>
        </w:rPr>
        <w:t xml:space="preserve">ontracting </w:t>
      </w:r>
      <w:r w:rsidR="000D5F1B" w:rsidRPr="00A633C6">
        <w:rPr>
          <w:rFonts w:ascii="Times New Roman" w:hAnsi="Times New Roman"/>
          <w:sz w:val="22"/>
        </w:rPr>
        <w:t>a</w:t>
      </w:r>
      <w:r w:rsidRPr="00A633C6">
        <w:rPr>
          <w:rFonts w:ascii="Times New Roman" w:hAnsi="Times New Roman"/>
          <w:sz w:val="22"/>
        </w:rPr>
        <w:t>uthority, except for the proportion assigned to after-sales service.</w:t>
      </w:r>
      <w:r w:rsidR="008718AA" w:rsidRPr="00A633C6">
        <w:rPr>
          <w:rFonts w:ascii="Times New Roman" w:hAnsi="Times New Roman"/>
          <w:sz w:val="22"/>
        </w:rPr>
        <w:t xml:space="preserve"> </w:t>
      </w:r>
      <w:r w:rsidR="008718AA" w:rsidRPr="001A2BC4">
        <w:rPr>
          <w:rFonts w:ascii="Times New Roman" w:hAnsi="Times New Roman"/>
          <w:sz w:val="22"/>
        </w:rPr>
        <w:t xml:space="preserve">For contracts of </w:t>
      </w:r>
      <w:r w:rsidR="000D5F1B" w:rsidRPr="001A2BC4">
        <w:rPr>
          <w:rFonts w:ascii="Times New Roman" w:hAnsi="Times New Roman"/>
          <w:sz w:val="22"/>
        </w:rPr>
        <w:t>EUR</w:t>
      </w:r>
      <w:r w:rsidR="008718AA" w:rsidRPr="001A2BC4">
        <w:rPr>
          <w:rFonts w:ascii="Times New Roman" w:hAnsi="Times New Roman"/>
          <w:sz w:val="22"/>
        </w:rPr>
        <w:t xml:space="preserve"> 150</w:t>
      </w:r>
      <w:r w:rsidR="000D5F1B" w:rsidRPr="001A2BC4">
        <w:rPr>
          <w:rFonts w:ascii="Times New Roman" w:hAnsi="Times New Roman"/>
          <w:sz w:val="22"/>
        </w:rPr>
        <w:t> </w:t>
      </w:r>
      <w:r w:rsidR="008718AA" w:rsidRPr="001A2BC4">
        <w:rPr>
          <w:rFonts w:ascii="Times New Roman" w:hAnsi="Times New Roman"/>
          <w:sz w:val="22"/>
        </w:rPr>
        <w:t xml:space="preserve">000 or below, on the basis of objective criteria such as the type and value of the contract, the </w:t>
      </w:r>
      <w:r w:rsidR="000D5F1B" w:rsidRPr="001A2BC4">
        <w:rPr>
          <w:rFonts w:ascii="Times New Roman" w:hAnsi="Times New Roman"/>
          <w:sz w:val="22"/>
        </w:rPr>
        <w:t>c</w:t>
      </w:r>
      <w:r w:rsidR="008718AA" w:rsidRPr="001A2BC4">
        <w:rPr>
          <w:rFonts w:ascii="Times New Roman" w:hAnsi="Times New Roman"/>
          <w:sz w:val="22"/>
        </w:rPr>
        <w:t xml:space="preserve">ontracting </w:t>
      </w:r>
      <w:r w:rsidR="000D5F1B" w:rsidRPr="001A2BC4">
        <w:rPr>
          <w:rFonts w:ascii="Times New Roman" w:hAnsi="Times New Roman"/>
          <w:sz w:val="22"/>
        </w:rPr>
        <w:t>a</w:t>
      </w:r>
      <w:r w:rsidR="008718AA" w:rsidRPr="001A2BC4">
        <w:rPr>
          <w:rFonts w:ascii="Times New Roman" w:hAnsi="Times New Roman"/>
          <w:sz w:val="22"/>
        </w:rPr>
        <w:t>uthority may decide not to require such a guarantee.</w:t>
      </w:r>
    </w:p>
    <w:p w14:paraId="2201497C" w14:textId="77777777" w:rsidR="0047783A" w:rsidRPr="001A2BC4" w:rsidRDefault="00EA1ADC" w:rsidP="009956B4">
      <w:pPr>
        <w:pStyle w:val="Heading1"/>
        <w:rPr>
          <w:lang w:val="en-GB"/>
        </w:rPr>
      </w:pPr>
      <w:bookmarkStart w:id="31" w:name="_Toc41467299"/>
      <w:bookmarkStart w:id="32" w:name="_Toc42488091"/>
      <w:r w:rsidRPr="001A2BC4">
        <w:rPr>
          <w:lang w:val="en-GB"/>
        </w:rPr>
        <w:t>23.</w:t>
      </w:r>
      <w:r w:rsidRPr="001A2BC4">
        <w:rPr>
          <w:lang w:val="en-GB"/>
        </w:rPr>
        <w:tab/>
      </w:r>
      <w:r w:rsidR="0047783A" w:rsidRPr="001A2BC4">
        <w:rPr>
          <w:lang w:val="en-GB"/>
        </w:rPr>
        <w:t>Tender guarantee</w:t>
      </w:r>
      <w:bookmarkEnd w:id="31"/>
      <w:bookmarkEnd w:id="32"/>
    </w:p>
    <w:p w14:paraId="37999967" w14:textId="59FC55D2" w:rsidR="008718AA" w:rsidRPr="00E82463" w:rsidRDefault="002D3764" w:rsidP="00AE1B18">
      <w:pPr>
        <w:ind w:left="567"/>
        <w:jc w:val="both"/>
        <w:outlineLvl w:val="0"/>
        <w:rPr>
          <w:rFonts w:ascii="Times New Roman" w:hAnsi="Times New Roman"/>
          <w:sz w:val="22"/>
        </w:rPr>
      </w:pPr>
      <w:r w:rsidRPr="00E943F7">
        <w:rPr>
          <w:rFonts w:ascii="Times New Roman" w:hAnsi="Times New Roman"/>
          <w:sz w:val="22"/>
          <w:szCs w:val="22"/>
        </w:rPr>
        <w:t>No tender guarantee is required</w:t>
      </w:r>
      <w:r w:rsidRPr="00E943F7">
        <w:rPr>
          <w:rFonts w:ascii="Times New Roman" w:hAnsi="Times New Roman"/>
        </w:rPr>
        <w:t>.</w:t>
      </w:r>
    </w:p>
    <w:p w14:paraId="1A9EE00F" w14:textId="77777777" w:rsidR="0047783A" w:rsidRPr="001A2BC4" w:rsidRDefault="00EA1ADC" w:rsidP="009956B4">
      <w:pPr>
        <w:pStyle w:val="Heading1"/>
        <w:rPr>
          <w:lang w:val="en-GB"/>
        </w:rPr>
      </w:pPr>
      <w:bookmarkStart w:id="33" w:name="_Toc41467300"/>
      <w:bookmarkStart w:id="34" w:name="_Toc42488092"/>
      <w:r w:rsidRPr="001A2BC4">
        <w:rPr>
          <w:lang w:val="en-GB"/>
        </w:rPr>
        <w:t xml:space="preserve">24. </w:t>
      </w:r>
      <w:r w:rsidR="0047783A" w:rsidRPr="001A2BC4">
        <w:rPr>
          <w:lang w:val="en-GB"/>
        </w:rPr>
        <w:t>Ethics clauses</w:t>
      </w:r>
      <w:bookmarkEnd w:id="33"/>
      <w:bookmarkEnd w:id="34"/>
      <w:r w:rsidR="00442FF2" w:rsidRPr="001A2BC4">
        <w:rPr>
          <w:lang w:val="en-GB"/>
        </w:rPr>
        <w:t xml:space="preserve"> and code of conduct</w:t>
      </w:r>
    </w:p>
    <w:p w14:paraId="5C06588B" w14:textId="77777777"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w:t>
      </w:r>
      <w:r w:rsidRPr="00C348C0">
        <w:rPr>
          <w:rFonts w:ascii="Times New Roman" w:hAnsi="Times New Roman"/>
          <w:sz w:val="22"/>
          <w:szCs w:val="22"/>
        </w:rPr>
        <w:lastRenderedPageBreak/>
        <w:t xml:space="preserve">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1A2BC4" w:rsidRDefault="00EA1ADC" w:rsidP="009956B4">
      <w:pPr>
        <w:pStyle w:val="Heading1"/>
        <w:rPr>
          <w:lang w:val="en-GB"/>
        </w:rPr>
      </w:pPr>
      <w:bookmarkStart w:id="35" w:name="_Toc42488093"/>
      <w:r w:rsidRPr="001A2BC4">
        <w:rPr>
          <w:lang w:val="en-GB"/>
        </w:rPr>
        <w:lastRenderedPageBreak/>
        <w:t>25.</w:t>
      </w:r>
      <w:r w:rsidRPr="001A2BC4">
        <w:rPr>
          <w:lang w:val="en-GB"/>
        </w:rPr>
        <w:tab/>
      </w:r>
      <w:r w:rsidR="0047783A" w:rsidRPr="001A2BC4">
        <w:rPr>
          <w:lang w:val="en-GB"/>
        </w:rPr>
        <w:t>Cancellation of the tender procedure</w:t>
      </w:r>
      <w:bookmarkEnd w:id="35"/>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1A2BC4" w:rsidRDefault="00EA1ADC" w:rsidP="009956B4">
      <w:pPr>
        <w:pStyle w:val="Heading1"/>
        <w:rPr>
          <w:lang w:val="en-GB"/>
        </w:rPr>
      </w:pPr>
      <w:r w:rsidRPr="001A2BC4">
        <w:rPr>
          <w:lang w:val="en-GB"/>
        </w:rPr>
        <w:t xml:space="preserve">26. </w:t>
      </w:r>
      <w:r w:rsidRPr="001A2BC4">
        <w:rPr>
          <w:lang w:val="en-GB"/>
        </w:rPr>
        <w:tab/>
      </w:r>
      <w:r w:rsidR="0047783A" w:rsidRPr="001A2BC4">
        <w:rPr>
          <w:lang w:val="en-GB"/>
        </w:rPr>
        <w:t>Appeals</w:t>
      </w:r>
    </w:p>
    <w:p w14:paraId="44D32D5F" w14:textId="77777777" w:rsidR="0047783A" w:rsidRPr="00E82463" w:rsidRDefault="0047783A"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565D13A4" w14:textId="77777777" w:rsidR="00AE1B18" w:rsidRPr="00521EA2" w:rsidRDefault="00AE1B18" w:rsidP="00AE1B18">
      <w:pPr>
        <w:tabs>
          <w:tab w:val="left" w:pos="567"/>
        </w:tabs>
        <w:ind w:left="567"/>
        <w:jc w:val="both"/>
        <w:rPr>
          <w:rFonts w:ascii="Times New Roman" w:hAnsi="Times New Roman"/>
          <w:sz w:val="22"/>
          <w:szCs w:val="22"/>
        </w:rPr>
      </w:pPr>
      <w:r w:rsidRPr="00521EA2">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BC7552B" w14:textId="77777777" w:rsidR="00AE1B18" w:rsidRPr="00521EA2" w:rsidRDefault="00AE1B18" w:rsidP="00AE1B18">
      <w:pPr>
        <w:tabs>
          <w:tab w:val="left" w:pos="567"/>
        </w:tabs>
        <w:ind w:left="567"/>
        <w:jc w:val="both"/>
        <w:rPr>
          <w:rFonts w:ascii="Times New Roman" w:hAnsi="Times New Roman"/>
          <w:sz w:val="22"/>
          <w:szCs w:val="22"/>
        </w:rPr>
      </w:pPr>
      <w:r w:rsidRPr="00521EA2">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14:paraId="391B1D40" w14:textId="77777777" w:rsidR="00AE1B18" w:rsidRPr="00521EA2" w:rsidRDefault="00AE1B18" w:rsidP="00AE1B18">
      <w:pPr>
        <w:tabs>
          <w:tab w:val="left" w:pos="567"/>
        </w:tabs>
        <w:ind w:left="567"/>
        <w:jc w:val="both"/>
        <w:rPr>
          <w:rFonts w:ascii="Times New Roman" w:hAnsi="Times New Roman"/>
          <w:sz w:val="22"/>
          <w:szCs w:val="22"/>
        </w:rPr>
      </w:pPr>
      <w:r w:rsidRPr="00521EA2">
        <w:rPr>
          <w:rFonts w:ascii="Times New Roman" w:hAnsi="Times New Roman"/>
          <w:sz w:val="22"/>
          <w:szCs w:val="22"/>
        </w:rPr>
        <w:lastRenderedPageBreak/>
        <w:t>Details concerning processing of your personal data by the Commission are available on the privacy statement at:</w:t>
      </w:r>
    </w:p>
    <w:p w14:paraId="603DF6CA" w14:textId="77777777" w:rsidR="00AE1B18" w:rsidRPr="00521EA2" w:rsidRDefault="00AE1B18" w:rsidP="00AE1B18">
      <w:pPr>
        <w:tabs>
          <w:tab w:val="left" w:pos="567"/>
        </w:tabs>
        <w:ind w:left="567"/>
        <w:jc w:val="center"/>
        <w:rPr>
          <w:rFonts w:ascii="Times New Roman" w:hAnsi="Times New Roman"/>
          <w:sz w:val="22"/>
          <w:szCs w:val="22"/>
        </w:rPr>
      </w:pPr>
      <w:r w:rsidRPr="00521EA2">
        <w:rPr>
          <w:rStyle w:val="Hyperlink"/>
          <w:rFonts w:ascii="Times New Roman" w:hAnsi="Times New Roman"/>
          <w:sz w:val="22"/>
          <w:szCs w:val="22"/>
        </w:rPr>
        <w:t xml:space="preserve"> </w:t>
      </w:r>
      <w:hyperlink r:id="rId16" w:anchor="Annexes-AnnexesA(Ch.2):General" w:history="1">
        <w:r w:rsidRPr="00521EA2">
          <w:rPr>
            <w:rStyle w:val="Hyperlink"/>
            <w:rFonts w:ascii="Times New Roman" w:hAnsi="Times New Roman"/>
            <w:sz w:val="22"/>
            <w:szCs w:val="22"/>
          </w:rPr>
          <w:t>https://wikis.ec.europa.eu/display/ExactExternalWiki/Annexes#Annexes-AnnexesA(Ch.2):General</w:t>
        </w:r>
      </w:hyperlink>
    </w:p>
    <w:p w14:paraId="19B0D0D5" w14:textId="75A08634" w:rsidR="00A50D37" w:rsidRPr="00FC6A15" w:rsidRDefault="00AE1B18" w:rsidP="00AE1B18">
      <w:pPr>
        <w:tabs>
          <w:tab w:val="left" w:pos="567"/>
        </w:tabs>
        <w:ind w:left="567"/>
        <w:jc w:val="both"/>
        <w:rPr>
          <w:rFonts w:ascii="Times New Roman" w:hAnsi="Times New Roman"/>
          <w:sz w:val="22"/>
          <w:szCs w:val="22"/>
          <w:lang w:eastAsia="en-GB"/>
        </w:rPr>
      </w:pPr>
      <w:r w:rsidRPr="00521EA2">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2F4845EF" w14:textId="77777777" w:rsidR="0047783A" w:rsidRPr="001A2BC4" w:rsidRDefault="00EA1ADC" w:rsidP="009956B4">
      <w:pPr>
        <w:pStyle w:val="Heading1"/>
        <w:rPr>
          <w:bCs/>
          <w:sz w:val="22"/>
          <w:szCs w:val="22"/>
          <w:lang w:val="en-GB"/>
        </w:rPr>
      </w:pPr>
      <w:r w:rsidRPr="001A2BC4">
        <w:rPr>
          <w:lang w:val="en-GB"/>
        </w:rPr>
        <w:t>28.</w:t>
      </w:r>
      <w:r w:rsidRPr="001A2BC4">
        <w:rPr>
          <w:lang w:val="en-GB"/>
        </w:rPr>
        <w:tab/>
      </w:r>
      <w:r w:rsidR="0047783A" w:rsidRPr="001A2BC4">
        <w:rPr>
          <w:lang w:val="en-GB"/>
        </w:rPr>
        <w:t xml:space="preserve">Early </w:t>
      </w:r>
      <w:r w:rsidR="00503427" w:rsidRPr="001A2BC4">
        <w:rPr>
          <w:lang w:val="en-GB"/>
        </w:rPr>
        <w:t>d</w:t>
      </w:r>
      <w:r w:rsidR="00E603B8" w:rsidRPr="001A2BC4">
        <w:rPr>
          <w:lang w:val="en-GB"/>
        </w:rPr>
        <w:t xml:space="preserve">etection and </w:t>
      </w:r>
      <w:r w:rsidR="00503427" w:rsidRPr="001A2BC4">
        <w:rPr>
          <w:lang w:val="en-GB"/>
        </w:rPr>
        <w:t>e</w:t>
      </w:r>
      <w:r w:rsidR="00E603B8" w:rsidRPr="001A2BC4">
        <w:rPr>
          <w:lang w:val="en-GB"/>
        </w:rPr>
        <w:t xml:space="preserve">xclusion </w:t>
      </w:r>
      <w:r w:rsidR="00503427" w:rsidRPr="001A2BC4">
        <w:rPr>
          <w:lang w:val="en-GB"/>
        </w:rPr>
        <w:t>s</w:t>
      </w:r>
      <w:r w:rsidR="0047783A" w:rsidRPr="001A2BC4">
        <w:rPr>
          <w:lang w:val="en-GB"/>
        </w:rPr>
        <w:t>ystem</w:t>
      </w:r>
    </w:p>
    <w:p w14:paraId="4DED6F68" w14:textId="1ACE8CEB" w:rsidR="00A820FC" w:rsidRDefault="0047783A" w:rsidP="001F17D3">
      <w:pPr>
        <w:pStyle w:val="BodyText"/>
        <w:ind w:left="567"/>
        <w:jc w:val="both"/>
        <w:rPr>
          <w:rFonts w:ascii="Times New Roman" w:hAnsi="Times New Roman"/>
          <w:sz w:val="22"/>
          <w:szCs w:val="22"/>
        </w:rPr>
        <w:sectPr w:rsidR="00A820FC" w:rsidSect="000D0118">
          <w:headerReference w:type="even" r:id="rId17"/>
          <w:headerReference w:type="default" r:id="rId18"/>
          <w:footerReference w:type="even" r:id="rId19"/>
          <w:footerReference w:type="default" r:id="rId20"/>
          <w:headerReference w:type="first" r:id="rId21"/>
          <w:footerReference w:type="first" r:id="rId22"/>
          <w:pgSz w:w="11906" w:h="16838"/>
          <w:pgMar w:top="709" w:right="1418" w:bottom="1134" w:left="1134" w:header="720" w:footer="469" w:gutter="567"/>
          <w:cols w:space="720"/>
        </w:sect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4A5EA8D1" w14:textId="77777777" w:rsidR="00A820FC" w:rsidRPr="00D621D6" w:rsidRDefault="00A820FC" w:rsidP="001F17D3">
      <w:pPr>
        <w:keepNext/>
        <w:spacing w:before="360" w:after="100" w:afterAutospacing="1"/>
        <w:jc w:val="both"/>
        <w:outlineLvl w:val="1"/>
        <w:rPr>
          <w:rFonts w:ascii="Times New Roman" w:hAnsi="Times New Roman"/>
          <w:sz w:val="22"/>
          <w:szCs w:val="22"/>
        </w:rPr>
      </w:pPr>
    </w:p>
    <w:sectPr w:rsidR="00A820FC" w:rsidRPr="00D621D6" w:rsidSect="001A2BC4">
      <w:pgSz w:w="16838" w:h="11906" w:orient="landscape"/>
      <w:pgMar w:top="1134" w:right="709" w:bottom="1418"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5147" w14:textId="77777777" w:rsidR="007E5C22" w:rsidRPr="006A5F84" w:rsidRDefault="007E5C22">
      <w:r w:rsidRPr="006A5F84">
        <w:separator/>
      </w:r>
    </w:p>
  </w:endnote>
  <w:endnote w:type="continuationSeparator" w:id="0">
    <w:p w14:paraId="724CCAA1" w14:textId="77777777" w:rsidR="007E5C22" w:rsidRPr="006A5F84" w:rsidRDefault="007E5C2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3F0C42" w:rsidRDefault="003F0C42"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18070E6" w:rsidR="003F0C42" w:rsidRPr="009423FB" w:rsidRDefault="003F0C42"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p>
  <w:p w14:paraId="5D145687" w14:textId="23C021F3"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8C4F73">
      <w:rPr>
        <w:rFonts w:ascii="Times New Roman" w:hAnsi="Times New Roman"/>
        <w:noProof/>
        <w:sz w:val="18"/>
        <w:szCs w:val="18"/>
      </w:rPr>
      <w:t>c4b_itt_en</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3F0C42" w:rsidRPr="006A5F84" w:rsidRDefault="003F0C42"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1A84" w14:textId="77777777" w:rsidR="007E5C22" w:rsidRPr="006A5F84" w:rsidRDefault="007E5C22">
      <w:r w:rsidRPr="006A5F84">
        <w:separator/>
      </w:r>
    </w:p>
  </w:footnote>
  <w:footnote w:type="continuationSeparator" w:id="0">
    <w:p w14:paraId="7E0051FE" w14:textId="77777777" w:rsidR="007E5C22" w:rsidRPr="006A5F84" w:rsidRDefault="007E5C22">
      <w:r w:rsidRPr="006A5F84">
        <w:continuationSeparator/>
      </w:r>
    </w:p>
  </w:footnote>
  <w:footnote w:id="1">
    <w:p w14:paraId="653E1EEF" w14:textId="77777777" w:rsidR="00CA6263" w:rsidRPr="00C348C0" w:rsidRDefault="00CA6263" w:rsidP="00CA6263">
      <w:pPr>
        <w:pStyle w:val="FootnoteText"/>
        <w:spacing w:after="0"/>
        <w:jc w:val="both"/>
        <w:rPr>
          <w:lang w:val="en-GB"/>
        </w:rPr>
      </w:pPr>
      <w:r w:rsidRPr="005352F6">
        <w:rPr>
          <w:rStyle w:val="FootnoteReference"/>
          <w:lang w:val="en-GB"/>
        </w:rPr>
        <w:footnoteRef/>
      </w:r>
      <w:r w:rsidRPr="005352F6">
        <w:rPr>
          <w:lang w:val="en-GB"/>
        </w:rPr>
        <w:t xml:space="preserve"> DDP (Delivered Duty Paid) </w:t>
      </w:r>
      <w:r w:rsidRPr="00C348C0">
        <w:rPr>
          <w:lang w:val="en-GB"/>
        </w:rPr>
        <w:t>— Incoterms 20</w:t>
      </w:r>
      <w:r>
        <w:rPr>
          <w:lang w:val="en-GB"/>
        </w:rPr>
        <w:t>20</w:t>
      </w:r>
      <w:r w:rsidRPr="00C348C0">
        <w:rPr>
          <w:lang w:val="en-GB"/>
        </w:rPr>
        <w:t xml:space="preserve"> International Chamber of Commerce </w:t>
      </w:r>
      <w:hyperlink r:id="rId1" w:history="1">
        <w:r>
          <w:rPr>
            <w:rStyle w:val="Hyperlink"/>
            <w:lang w:val="en-GB"/>
          </w:rPr>
          <w:t>http://www.iccwbo.org/incoterms/</w:t>
        </w:r>
      </w:hyperlink>
    </w:p>
  </w:footnote>
  <w:footnote w:id="2">
    <w:p w14:paraId="7C36EC89" w14:textId="77777777" w:rsidR="003F0C42" w:rsidRPr="00C348C0" w:rsidRDefault="003F0C42" w:rsidP="009956B4">
      <w:pPr>
        <w:pStyle w:val="FootnoteText"/>
        <w:spacing w:after="0"/>
        <w:jc w:val="both"/>
        <w:rPr>
          <w:lang w:val="en-GB"/>
        </w:rPr>
      </w:pPr>
      <w:r>
        <w:rPr>
          <w:rStyle w:val="FootnoteReference"/>
        </w:rPr>
        <w:footnoteRef/>
      </w:r>
      <w:r w:rsidRPr="00C348C0">
        <w:rPr>
          <w:lang w:val="en-GB"/>
        </w:rPr>
        <w:t xml:space="preserve"> </w:t>
      </w:r>
      <w:r>
        <w:rPr>
          <w:lang w:val="en-GB"/>
        </w:rPr>
        <w:t>See PRAG Section 2.6.10.1.3 A)</w:t>
      </w:r>
    </w:p>
  </w:footnote>
  <w:footnote w:id="3">
    <w:p w14:paraId="1419836C" w14:textId="77777777" w:rsidR="003F0C42" w:rsidRPr="00C348C0" w:rsidRDefault="003F0C42"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 w:id="4">
    <w:p w14:paraId="13BA1ED8" w14:textId="77777777" w:rsidR="00A97233" w:rsidRPr="00C348C0" w:rsidRDefault="00A97233" w:rsidP="00A97233">
      <w:pPr>
        <w:pStyle w:val="FootnoteText"/>
        <w:spacing w:after="0"/>
        <w:jc w:val="both"/>
        <w:rPr>
          <w:lang w:val="en-GB"/>
        </w:rPr>
      </w:pPr>
      <w:r w:rsidRPr="006A5F84">
        <w:rPr>
          <w:rStyle w:val="FootnoteReference"/>
          <w:lang w:val="en-GB"/>
        </w:rPr>
        <w:footnoteRef/>
      </w:r>
      <w:r>
        <w:rPr>
          <w:lang w:val="en-GB"/>
        </w:rPr>
        <w:t xml:space="preserve"> </w:t>
      </w:r>
      <w:r w:rsidRPr="00022CAA">
        <w:rPr>
          <w:lang w:val="en-GB"/>
        </w:rPr>
        <w:t>DDP (Delivered Duty Paid)—</w:t>
      </w:r>
      <w:r w:rsidRPr="00C348C0">
        <w:rPr>
          <w:lang w:val="en-GB"/>
        </w:rPr>
        <w:t xml:space="preserve"> Incoterms 20</w:t>
      </w:r>
      <w:r>
        <w:rPr>
          <w:lang w:val="en-GB"/>
        </w:rPr>
        <w:t>20</w:t>
      </w:r>
      <w:r w:rsidRPr="00C348C0">
        <w:rPr>
          <w:lang w:val="en-GB"/>
        </w:rPr>
        <w:t xml:space="preserve"> International Chamber of Commerce </w:t>
      </w:r>
      <w:r w:rsidRPr="0042695A">
        <w:rPr>
          <w:lang w:val="en-IE"/>
        </w:rPr>
        <w:t xml:space="preserve"> </w:t>
      </w:r>
      <w:hyperlink r:id="rId2"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335" w14:textId="77777777" w:rsidR="003F0C42" w:rsidRDefault="003F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B65" w14:textId="77777777" w:rsidR="003F0C42" w:rsidRDefault="003F0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241" w14:textId="77777777" w:rsidR="003F0C42" w:rsidRDefault="003F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220678">
    <w:abstractNumId w:val="12"/>
  </w:num>
  <w:num w:numId="2" w16cid:durableId="538319268">
    <w:abstractNumId w:val="24"/>
  </w:num>
  <w:num w:numId="3" w16cid:durableId="1558394260">
    <w:abstractNumId w:val="11"/>
  </w:num>
  <w:num w:numId="4" w16cid:durableId="2140299887">
    <w:abstractNumId w:val="14"/>
  </w:num>
  <w:num w:numId="5" w16cid:durableId="1270434531">
    <w:abstractNumId w:val="26"/>
  </w:num>
  <w:num w:numId="6" w16cid:durableId="1328244243">
    <w:abstractNumId w:val="10"/>
  </w:num>
  <w:num w:numId="7" w16cid:durableId="1282615692">
    <w:abstractNumId w:val="6"/>
  </w:num>
  <w:num w:numId="8" w16cid:durableId="147330602">
    <w:abstractNumId w:val="2"/>
  </w:num>
  <w:num w:numId="9" w16cid:durableId="2011828119">
    <w:abstractNumId w:val="16"/>
  </w:num>
  <w:num w:numId="10" w16cid:durableId="466976083">
    <w:abstractNumId w:val="5"/>
  </w:num>
  <w:num w:numId="11" w16cid:durableId="572743348">
    <w:abstractNumId w:val="23"/>
  </w:num>
  <w:num w:numId="12" w16cid:durableId="2011785061">
    <w:abstractNumId w:val="13"/>
  </w:num>
  <w:num w:numId="13" w16cid:durableId="126944530">
    <w:abstractNumId w:val="8"/>
  </w:num>
  <w:num w:numId="14" w16cid:durableId="380055804">
    <w:abstractNumId w:val="21"/>
  </w:num>
  <w:num w:numId="15" w16cid:durableId="1584879738">
    <w:abstractNumId w:val="22"/>
  </w:num>
  <w:num w:numId="16" w16cid:durableId="67657127">
    <w:abstractNumId w:val="9"/>
  </w:num>
  <w:num w:numId="17" w16cid:durableId="9652363">
    <w:abstractNumId w:val="17"/>
  </w:num>
  <w:num w:numId="18" w16cid:durableId="1820538709">
    <w:abstractNumId w:val="12"/>
  </w:num>
  <w:num w:numId="19" w16cid:durableId="794174986">
    <w:abstractNumId w:val="12"/>
  </w:num>
  <w:num w:numId="20" w16cid:durableId="662591111">
    <w:abstractNumId w:val="28"/>
  </w:num>
  <w:num w:numId="21" w16cid:durableId="990447056">
    <w:abstractNumId w:val="19"/>
  </w:num>
  <w:num w:numId="22" w16cid:durableId="1990010357">
    <w:abstractNumId w:val="18"/>
  </w:num>
  <w:num w:numId="23" w16cid:durableId="1499080817">
    <w:abstractNumId w:val="3"/>
  </w:num>
  <w:num w:numId="24" w16cid:durableId="1872759374">
    <w:abstractNumId w:val="12"/>
  </w:num>
  <w:num w:numId="25" w16cid:durableId="1669140312">
    <w:abstractNumId w:val="12"/>
  </w:num>
  <w:num w:numId="26" w16cid:durableId="1195928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723061193">
    <w:abstractNumId w:val="1"/>
  </w:num>
  <w:num w:numId="28" w16cid:durableId="2019652022">
    <w:abstractNumId w:val="4"/>
  </w:num>
  <w:num w:numId="29" w16cid:durableId="1162894228">
    <w:abstractNumId w:val="27"/>
  </w:num>
  <w:num w:numId="30" w16cid:durableId="1616599157">
    <w:abstractNumId w:val="24"/>
    <w:lvlOverride w:ilvl="0">
      <w:startOverride w:val="20"/>
    </w:lvlOverride>
    <w:lvlOverride w:ilvl="1">
      <w:startOverride w:val="7"/>
    </w:lvlOverride>
  </w:num>
  <w:num w:numId="31" w16cid:durableId="941063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868790">
    <w:abstractNumId w:val="20"/>
  </w:num>
  <w:num w:numId="33" w16cid:durableId="2190015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902"/>
    <w:rsid w:val="000011D7"/>
    <w:rsid w:val="000012FD"/>
    <w:rsid w:val="000021E1"/>
    <w:rsid w:val="0000259F"/>
    <w:rsid w:val="000058A2"/>
    <w:rsid w:val="00005FE9"/>
    <w:rsid w:val="00007151"/>
    <w:rsid w:val="000076C2"/>
    <w:rsid w:val="00007DCD"/>
    <w:rsid w:val="00010561"/>
    <w:rsid w:val="00010EFB"/>
    <w:rsid w:val="00011AE2"/>
    <w:rsid w:val="00016790"/>
    <w:rsid w:val="000167B8"/>
    <w:rsid w:val="0002493B"/>
    <w:rsid w:val="00026133"/>
    <w:rsid w:val="00027333"/>
    <w:rsid w:val="00030464"/>
    <w:rsid w:val="00031789"/>
    <w:rsid w:val="00032EDE"/>
    <w:rsid w:val="00035253"/>
    <w:rsid w:val="00036E25"/>
    <w:rsid w:val="00040153"/>
    <w:rsid w:val="00040CF1"/>
    <w:rsid w:val="00041516"/>
    <w:rsid w:val="000417E2"/>
    <w:rsid w:val="00043159"/>
    <w:rsid w:val="0004517D"/>
    <w:rsid w:val="00050C50"/>
    <w:rsid w:val="00051AE7"/>
    <w:rsid w:val="00051DD7"/>
    <w:rsid w:val="0005385E"/>
    <w:rsid w:val="00053AE8"/>
    <w:rsid w:val="00054122"/>
    <w:rsid w:val="0005446F"/>
    <w:rsid w:val="00054D5A"/>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2F08"/>
    <w:rsid w:val="000947DF"/>
    <w:rsid w:val="000958D8"/>
    <w:rsid w:val="00097737"/>
    <w:rsid w:val="000A1A71"/>
    <w:rsid w:val="000A3B36"/>
    <w:rsid w:val="000A5F76"/>
    <w:rsid w:val="000A7795"/>
    <w:rsid w:val="000A7A2C"/>
    <w:rsid w:val="000B0983"/>
    <w:rsid w:val="000B1236"/>
    <w:rsid w:val="000B79F6"/>
    <w:rsid w:val="000C1D59"/>
    <w:rsid w:val="000C3069"/>
    <w:rsid w:val="000C32D7"/>
    <w:rsid w:val="000C4AE6"/>
    <w:rsid w:val="000C6C88"/>
    <w:rsid w:val="000C6E69"/>
    <w:rsid w:val="000D0118"/>
    <w:rsid w:val="000D1B17"/>
    <w:rsid w:val="000D1CDA"/>
    <w:rsid w:val="000D24E3"/>
    <w:rsid w:val="000D2B44"/>
    <w:rsid w:val="000D40DB"/>
    <w:rsid w:val="000D4A00"/>
    <w:rsid w:val="000D4C36"/>
    <w:rsid w:val="000D566C"/>
    <w:rsid w:val="000D5F1B"/>
    <w:rsid w:val="000D66C0"/>
    <w:rsid w:val="000E0AE8"/>
    <w:rsid w:val="000E0DB4"/>
    <w:rsid w:val="000E291F"/>
    <w:rsid w:val="000E64B0"/>
    <w:rsid w:val="000E7B75"/>
    <w:rsid w:val="000F124B"/>
    <w:rsid w:val="000F1339"/>
    <w:rsid w:val="000F1EA7"/>
    <w:rsid w:val="000F5F5F"/>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26A0"/>
    <w:rsid w:val="00123EDC"/>
    <w:rsid w:val="00124409"/>
    <w:rsid w:val="00124491"/>
    <w:rsid w:val="001252C0"/>
    <w:rsid w:val="0012677D"/>
    <w:rsid w:val="0013002E"/>
    <w:rsid w:val="001302A7"/>
    <w:rsid w:val="001309AB"/>
    <w:rsid w:val="00130EF1"/>
    <w:rsid w:val="001320DF"/>
    <w:rsid w:val="00134586"/>
    <w:rsid w:val="00135A4A"/>
    <w:rsid w:val="001360D3"/>
    <w:rsid w:val="001421D8"/>
    <w:rsid w:val="00144716"/>
    <w:rsid w:val="00145590"/>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E5324"/>
    <w:rsid w:val="001F0DE5"/>
    <w:rsid w:val="001F1580"/>
    <w:rsid w:val="001F17D3"/>
    <w:rsid w:val="001F410B"/>
    <w:rsid w:val="001F5421"/>
    <w:rsid w:val="001F7658"/>
    <w:rsid w:val="002012E1"/>
    <w:rsid w:val="00201CF7"/>
    <w:rsid w:val="00203E3D"/>
    <w:rsid w:val="00205DC5"/>
    <w:rsid w:val="0020615A"/>
    <w:rsid w:val="00210AC2"/>
    <w:rsid w:val="00211229"/>
    <w:rsid w:val="00211E0F"/>
    <w:rsid w:val="00213AB7"/>
    <w:rsid w:val="002156A5"/>
    <w:rsid w:val="0021645D"/>
    <w:rsid w:val="00216F0D"/>
    <w:rsid w:val="00217E61"/>
    <w:rsid w:val="002209F1"/>
    <w:rsid w:val="00220BF7"/>
    <w:rsid w:val="00222EE5"/>
    <w:rsid w:val="00224C44"/>
    <w:rsid w:val="00224EE3"/>
    <w:rsid w:val="00225CDC"/>
    <w:rsid w:val="00225F75"/>
    <w:rsid w:val="00227A8C"/>
    <w:rsid w:val="00227ABB"/>
    <w:rsid w:val="00235BB9"/>
    <w:rsid w:val="00237F9E"/>
    <w:rsid w:val="00240415"/>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010C"/>
    <w:rsid w:val="002631C5"/>
    <w:rsid w:val="00264ACD"/>
    <w:rsid w:val="0026542C"/>
    <w:rsid w:val="002659B1"/>
    <w:rsid w:val="00266552"/>
    <w:rsid w:val="00266C6F"/>
    <w:rsid w:val="00271700"/>
    <w:rsid w:val="00272A7B"/>
    <w:rsid w:val="00272D32"/>
    <w:rsid w:val="002753F3"/>
    <w:rsid w:val="00276537"/>
    <w:rsid w:val="0028364A"/>
    <w:rsid w:val="00290561"/>
    <w:rsid w:val="00294190"/>
    <w:rsid w:val="002A0041"/>
    <w:rsid w:val="002A1860"/>
    <w:rsid w:val="002A2D36"/>
    <w:rsid w:val="002A5ECE"/>
    <w:rsid w:val="002A6367"/>
    <w:rsid w:val="002B1865"/>
    <w:rsid w:val="002B3647"/>
    <w:rsid w:val="002B6401"/>
    <w:rsid w:val="002B7402"/>
    <w:rsid w:val="002C1EAD"/>
    <w:rsid w:val="002C5D1F"/>
    <w:rsid w:val="002C649A"/>
    <w:rsid w:val="002C7223"/>
    <w:rsid w:val="002D0CE1"/>
    <w:rsid w:val="002D1FCC"/>
    <w:rsid w:val="002D2FC0"/>
    <w:rsid w:val="002D3764"/>
    <w:rsid w:val="002D6EED"/>
    <w:rsid w:val="002E021E"/>
    <w:rsid w:val="002E105B"/>
    <w:rsid w:val="002E1FB2"/>
    <w:rsid w:val="002E3711"/>
    <w:rsid w:val="002E4C1B"/>
    <w:rsid w:val="002E67E3"/>
    <w:rsid w:val="002F0B19"/>
    <w:rsid w:val="002F1222"/>
    <w:rsid w:val="002F3257"/>
    <w:rsid w:val="002F48D0"/>
    <w:rsid w:val="002F530E"/>
    <w:rsid w:val="002F559C"/>
    <w:rsid w:val="002F622A"/>
    <w:rsid w:val="002F6309"/>
    <w:rsid w:val="00301220"/>
    <w:rsid w:val="00302346"/>
    <w:rsid w:val="003051AA"/>
    <w:rsid w:val="003061F8"/>
    <w:rsid w:val="00306DE6"/>
    <w:rsid w:val="00307C7F"/>
    <w:rsid w:val="00314EE8"/>
    <w:rsid w:val="003205A4"/>
    <w:rsid w:val="00322263"/>
    <w:rsid w:val="00324A27"/>
    <w:rsid w:val="003308C6"/>
    <w:rsid w:val="003320FF"/>
    <w:rsid w:val="0033212F"/>
    <w:rsid w:val="00335E06"/>
    <w:rsid w:val="00336EF5"/>
    <w:rsid w:val="003409B8"/>
    <w:rsid w:val="003411A3"/>
    <w:rsid w:val="00343102"/>
    <w:rsid w:val="0034393A"/>
    <w:rsid w:val="00347B7E"/>
    <w:rsid w:val="003502E9"/>
    <w:rsid w:val="0035089B"/>
    <w:rsid w:val="00351351"/>
    <w:rsid w:val="003521A5"/>
    <w:rsid w:val="003551F4"/>
    <w:rsid w:val="003568F8"/>
    <w:rsid w:val="00360344"/>
    <w:rsid w:val="003613D2"/>
    <w:rsid w:val="0036401E"/>
    <w:rsid w:val="00364FFD"/>
    <w:rsid w:val="00371851"/>
    <w:rsid w:val="00371F01"/>
    <w:rsid w:val="003721AD"/>
    <w:rsid w:val="00372540"/>
    <w:rsid w:val="00376656"/>
    <w:rsid w:val="003812F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6C9C"/>
    <w:rsid w:val="003C7008"/>
    <w:rsid w:val="003C7266"/>
    <w:rsid w:val="003D07C5"/>
    <w:rsid w:val="003D08B1"/>
    <w:rsid w:val="003D2078"/>
    <w:rsid w:val="003D2AC3"/>
    <w:rsid w:val="003D3CAA"/>
    <w:rsid w:val="003D7011"/>
    <w:rsid w:val="003D7611"/>
    <w:rsid w:val="003E2865"/>
    <w:rsid w:val="003E3A6A"/>
    <w:rsid w:val="003E4DCA"/>
    <w:rsid w:val="003E68E2"/>
    <w:rsid w:val="003E7C71"/>
    <w:rsid w:val="003F0713"/>
    <w:rsid w:val="003F0C42"/>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6BCA"/>
    <w:rsid w:val="00417269"/>
    <w:rsid w:val="00420666"/>
    <w:rsid w:val="00421363"/>
    <w:rsid w:val="0042695A"/>
    <w:rsid w:val="004272A7"/>
    <w:rsid w:val="004300D4"/>
    <w:rsid w:val="004316F0"/>
    <w:rsid w:val="004365AD"/>
    <w:rsid w:val="00442FF2"/>
    <w:rsid w:val="004434F8"/>
    <w:rsid w:val="0045310F"/>
    <w:rsid w:val="00453BD6"/>
    <w:rsid w:val="004554CB"/>
    <w:rsid w:val="00456FAE"/>
    <w:rsid w:val="004607CD"/>
    <w:rsid w:val="0046122C"/>
    <w:rsid w:val="00461AB4"/>
    <w:rsid w:val="00463F73"/>
    <w:rsid w:val="00473EF1"/>
    <w:rsid w:val="00476547"/>
    <w:rsid w:val="00476D3D"/>
    <w:rsid w:val="004775D2"/>
    <w:rsid w:val="0047783A"/>
    <w:rsid w:val="00483E26"/>
    <w:rsid w:val="0048742A"/>
    <w:rsid w:val="00487730"/>
    <w:rsid w:val="0049088E"/>
    <w:rsid w:val="004925DF"/>
    <w:rsid w:val="004936A8"/>
    <w:rsid w:val="00494168"/>
    <w:rsid w:val="00495345"/>
    <w:rsid w:val="0049562D"/>
    <w:rsid w:val="004A0140"/>
    <w:rsid w:val="004A101E"/>
    <w:rsid w:val="004A5CA1"/>
    <w:rsid w:val="004A7ED9"/>
    <w:rsid w:val="004B076C"/>
    <w:rsid w:val="004B21D7"/>
    <w:rsid w:val="004B2836"/>
    <w:rsid w:val="004B5C33"/>
    <w:rsid w:val="004B7893"/>
    <w:rsid w:val="004C265E"/>
    <w:rsid w:val="004C35B5"/>
    <w:rsid w:val="004C58D1"/>
    <w:rsid w:val="004D20F9"/>
    <w:rsid w:val="004D2FD8"/>
    <w:rsid w:val="004D5030"/>
    <w:rsid w:val="004D6D1E"/>
    <w:rsid w:val="004D72C2"/>
    <w:rsid w:val="004E16BB"/>
    <w:rsid w:val="004E68CF"/>
    <w:rsid w:val="004F1264"/>
    <w:rsid w:val="004F2D4B"/>
    <w:rsid w:val="004F5C57"/>
    <w:rsid w:val="004F6EE9"/>
    <w:rsid w:val="005005D7"/>
    <w:rsid w:val="00501FF0"/>
    <w:rsid w:val="00502B15"/>
    <w:rsid w:val="00503427"/>
    <w:rsid w:val="00503B57"/>
    <w:rsid w:val="00503C64"/>
    <w:rsid w:val="005071E3"/>
    <w:rsid w:val="00515616"/>
    <w:rsid w:val="00516552"/>
    <w:rsid w:val="00522F7F"/>
    <w:rsid w:val="00531CAA"/>
    <w:rsid w:val="00533C8D"/>
    <w:rsid w:val="005352F6"/>
    <w:rsid w:val="00535826"/>
    <w:rsid w:val="00536B4A"/>
    <w:rsid w:val="00537189"/>
    <w:rsid w:val="005400D3"/>
    <w:rsid w:val="00542E0F"/>
    <w:rsid w:val="00545957"/>
    <w:rsid w:val="00545E35"/>
    <w:rsid w:val="00552278"/>
    <w:rsid w:val="00555BFC"/>
    <w:rsid w:val="00556087"/>
    <w:rsid w:val="00556923"/>
    <w:rsid w:val="00561323"/>
    <w:rsid w:val="005634B2"/>
    <w:rsid w:val="00570282"/>
    <w:rsid w:val="00575CB0"/>
    <w:rsid w:val="00580F0C"/>
    <w:rsid w:val="00582894"/>
    <w:rsid w:val="00586D6C"/>
    <w:rsid w:val="00587BC9"/>
    <w:rsid w:val="00591F23"/>
    <w:rsid w:val="00593550"/>
    <w:rsid w:val="0059371A"/>
    <w:rsid w:val="005B2018"/>
    <w:rsid w:val="005B2646"/>
    <w:rsid w:val="005B35D7"/>
    <w:rsid w:val="005B75F7"/>
    <w:rsid w:val="005C0EA1"/>
    <w:rsid w:val="005C1201"/>
    <w:rsid w:val="005C3558"/>
    <w:rsid w:val="005C5BE0"/>
    <w:rsid w:val="005D3A33"/>
    <w:rsid w:val="005D72F7"/>
    <w:rsid w:val="005E0B76"/>
    <w:rsid w:val="005E2EE8"/>
    <w:rsid w:val="005F1EC7"/>
    <w:rsid w:val="005F1F05"/>
    <w:rsid w:val="005F3C51"/>
    <w:rsid w:val="005F3E6B"/>
    <w:rsid w:val="005F3EA3"/>
    <w:rsid w:val="005F62D0"/>
    <w:rsid w:val="005F7A76"/>
    <w:rsid w:val="005F7DC0"/>
    <w:rsid w:val="006032C2"/>
    <w:rsid w:val="00603B4B"/>
    <w:rsid w:val="006064CA"/>
    <w:rsid w:val="0061140B"/>
    <w:rsid w:val="00613E4C"/>
    <w:rsid w:val="00614AE9"/>
    <w:rsid w:val="00614DF8"/>
    <w:rsid w:val="006164B8"/>
    <w:rsid w:val="00621C05"/>
    <w:rsid w:val="0062259D"/>
    <w:rsid w:val="00623016"/>
    <w:rsid w:val="00625741"/>
    <w:rsid w:val="00630083"/>
    <w:rsid w:val="006311FE"/>
    <w:rsid w:val="00633829"/>
    <w:rsid w:val="00633D3A"/>
    <w:rsid w:val="00633E6D"/>
    <w:rsid w:val="00636E8F"/>
    <w:rsid w:val="0063744A"/>
    <w:rsid w:val="00637D16"/>
    <w:rsid w:val="006408AC"/>
    <w:rsid w:val="00640D24"/>
    <w:rsid w:val="00640E38"/>
    <w:rsid w:val="00641786"/>
    <w:rsid w:val="00644483"/>
    <w:rsid w:val="0065117A"/>
    <w:rsid w:val="00651BD8"/>
    <w:rsid w:val="00652618"/>
    <w:rsid w:val="006532E3"/>
    <w:rsid w:val="0065398D"/>
    <w:rsid w:val="00654F04"/>
    <w:rsid w:val="0066145D"/>
    <w:rsid w:val="00661B3C"/>
    <w:rsid w:val="00662CEE"/>
    <w:rsid w:val="0066519D"/>
    <w:rsid w:val="006661F9"/>
    <w:rsid w:val="006668AB"/>
    <w:rsid w:val="00670E5E"/>
    <w:rsid w:val="00675D72"/>
    <w:rsid w:val="00677500"/>
    <w:rsid w:val="0068247E"/>
    <w:rsid w:val="00682804"/>
    <w:rsid w:val="00684438"/>
    <w:rsid w:val="0069153C"/>
    <w:rsid w:val="00691664"/>
    <w:rsid w:val="006917B2"/>
    <w:rsid w:val="00692095"/>
    <w:rsid w:val="00696FDD"/>
    <w:rsid w:val="006A5F84"/>
    <w:rsid w:val="006B0532"/>
    <w:rsid w:val="006B0AB1"/>
    <w:rsid w:val="006B3EAE"/>
    <w:rsid w:val="006B5B42"/>
    <w:rsid w:val="006C2F05"/>
    <w:rsid w:val="006C513D"/>
    <w:rsid w:val="006D0101"/>
    <w:rsid w:val="006D3BA1"/>
    <w:rsid w:val="006D4462"/>
    <w:rsid w:val="006D4CEC"/>
    <w:rsid w:val="006D7577"/>
    <w:rsid w:val="006E00B9"/>
    <w:rsid w:val="006E1DB1"/>
    <w:rsid w:val="006E226A"/>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13B4"/>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4EA"/>
    <w:rsid w:val="007625F7"/>
    <w:rsid w:val="007629E1"/>
    <w:rsid w:val="00763B1C"/>
    <w:rsid w:val="007666CD"/>
    <w:rsid w:val="0077201B"/>
    <w:rsid w:val="00773FA6"/>
    <w:rsid w:val="00775749"/>
    <w:rsid w:val="00776BF7"/>
    <w:rsid w:val="00777E99"/>
    <w:rsid w:val="00780395"/>
    <w:rsid w:val="00785050"/>
    <w:rsid w:val="00787CA0"/>
    <w:rsid w:val="00792A1B"/>
    <w:rsid w:val="007939C3"/>
    <w:rsid w:val="0079405A"/>
    <w:rsid w:val="00795767"/>
    <w:rsid w:val="007A0045"/>
    <w:rsid w:val="007A0144"/>
    <w:rsid w:val="007A01BB"/>
    <w:rsid w:val="007A0C47"/>
    <w:rsid w:val="007A278B"/>
    <w:rsid w:val="007B15A3"/>
    <w:rsid w:val="007B65DB"/>
    <w:rsid w:val="007C0BDD"/>
    <w:rsid w:val="007C1656"/>
    <w:rsid w:val="007C4F61"/>
    <w:rsid w:val="007C6835"/>
    <w:rsid w:val="007C75E0"/>
    <w:rsid w:val="007D02BE"/>
    <w:rsid w:val="007D5FA2"/>
    <w:rsid w:val="007E0CD5"/>
    <w:rsid w:val="007E122E"/>
    <w:rsid w:val="007E3C2C"/>
    <w:rsid w:val="007E3D5F"/>
    <w:rsid w:val="007E441A"/>
    <w:rsid w:val="007E597D"/>
    <w:rsid w:val="007E5C22"/>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4E4F"/>
    <w:rsid w:val="008272ED"/>
    <w:rsid w:val="00830ACF"/>
    <w:rsid w:val="00845115"/>
    <w:rsid w:val="00853F9D"/>
    <w:rsid w:val="0085667F"/>
    <w:rsid w:val="008617F3"/>
    <w:rsid w:val="0086414D"/>
    <w:rsid w:val="00865758"/>
    <w:rsid w:val="008670ED"/>
    <w:rsid w:val="0086759F"/>
    <w:rsid w:val="00870FD6"/>
    <w:rsid w:val="008718AA"/>
    <w:rsid w:val="00872830"/>
    <w:rsid w:val="008808CB"/>
    <w:rsid w:val="008847D1"/>
    <w:rsid w:val="00885882"/>
    <w:rsid w:val="008859E6"/>
    <w:rsid w:val="0089121B"/>
    <w:rsid w:val="00891D12"/>
    <w:rsid w:val="00892CE9"/>
    <w:rsid w:val="008934F5"/>
    <w:rsid w:val="008A048D"/>
    <w:rsid w:val="008A2256"/>
    <w:rsid w:val="008A39B7"/>
    <w:rsid w:val="008A672F"/>
    <w:rsid w:val="008B2A9C"/>
    <w:rsid w:val="008C14A7"/>
    <w:rsid w:val="008C250A"/>
    <w:rsid w:val="008C284B"/>
    <w:rsid w:val="008C4E79"/>
    <w:rsid w:val="008C4F73"/>
    <w:rsid w:val="008C4F93"/>
    <w:rsid w:val="008C5A40"/>
    <w:rsid w:val="008C5DAA"/>
    <w:rsid w:val="008C787A"/>
    <w:rsid w:val="008D4697"/>
    <w:rsid w:val="008E17B0"/>
    <w:rsid w:val="008E40E2"/>
    <w:rsid w:val="008E6D20"/>
    <w:rsid w:val="008E7470"/>
    <w:rsid w:val="008E7587"/>
    <w:rsid w:val="008F2DDC"/>
    <w:rsid w:val="008F2E42"/>
    <w:rsid w:val="008F3866"/>
    <w:rsid w:val="008F3B55"/>
    <w:rsid w:val="008F3D27"/>
    <w:rsid w:val="008F3E7A"/>
    <w:rsid w:val="009018A4"/>
    <w:rsid w:val="009030B0"/>
    <w:rsid w:val="009143FD"/>
    <w:rsid w:val="00917D02"/>
    <w:rsid w:val="00920A51"/>
    <w:rsid w:val="00920DBC"/>
    <w:rsid w:val="00922542"/>
    <w:rsid w:val="009251E3"/>
    <w:rsid w:val="0093582A"/>
    <w:rsid w:val="00941227"/>
    <w:rsid w:val="009423FB"/>
    <w:rsid w:val="00943C7B"/>
    <w:rsid w:val="0094670B"/>
    <w:rsid w:val="00947FC3"/>
    <w:rsid w:val="00950813"/>
    <w:rsid w:val="009514EC"/>
    <w:rsid w:val="00961615"/>
    <w:rsid w:val="0096477E"/>
    <w:rsid w:val="0097450C"/>
    <w:rsid w:val="009774F1"/>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B6D25"/>
    <w:rsid w:val="009C0E86"/>
    <w:rsid w:val="009C1AB9"/>
    <w:rsid w:val="009D012B"/>
    <w:rsid w:val="009D2938"/>
    <w:rsid w:val="009D3181"/>
    <w:rsid w:val="009D4697"/>
    <w:rsid w:val="009D5314"/>
    <w:rsid w:val="009D5C75"/>
    <w:rsid w:val="009D5CB2"/>
    <w:rsid w:val="009E04E4"/>
    <w:rsid w:val="009E48A3"/>
    <w:rsid w:val="009E4FC6"/>
    <w:rsid w:val="009E6BB7"/>
    <w:rsid w:val="009F1371"/>
    <w:rsid w:val="009F2D65"/>
    <w:rsid w:val="009F3126"/>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1820"/>
    <w:rsid w:val="00A539E4"/>
    <w:rsid w:val="00A5438F"/>
    <w:rsid w:val="00A55597"/>
    <w:rsid w:val="00A56251"/>
    <w:rsid w:val="00A56C0B"/>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509F"/>
    <w:rsid w:val="00A97233"/>
    <w:rsid w:val="00AA24A4"/>
    <w:rsid w:val="00AA3E2F"/>
    <w:rsid w:val="00AA4766"/>
    <w:rsid w:val="00AA780B"/>
    <w:rsid w:val="00AB1847"/>
    <w:rsid w:val="00AB26E0"/>
    <w:rsid w:val="00AB29A9"/>
    <w:rsid w:val="00AB3AB0"/>
    <w:rsid w:val="00AB4760"/>
    <w:rsid w:val="00AB5A11"/>
    <w:rsid w:val="00AB5ED5"/>
    <w:rsid w:val="00AB66A5"/>
    <w:rsid w:val="00AC07D4"/>
    <w:rsid w:val="00AC0DE2"/>
    <w:rsid w:val="00AC169F"/>
    <w:rsid w:val="00AC2621"/>
    <w:rsid w:val="00AC7636"/>
    <w:rsid w:val="00AD0D7A"/>
    <w:rsid w:val="00AD1130"/>
    <w:rsid w:val="00AD5536"/>
    <w:rsid w:val="00AE1B18"/>
    <w:rsid w:val="00AE5192"/>
    <w:rsid w:val="00AE6600"/>
    <w:rsid w:val="00AE7D13"/>
    <w:rsid w:val="00AF2A32"/>
    <w:rsid w:val="00AF4052"/>
    <w:rsid w:val="00AF47CA"/>
    <w:rsid w:val="00AF507E"/>
    <w:rsid w:val="00B05148"/>
    <w:rsid w:val="00B07102"/>
    <w:rsid w:val="00B1032A"/>
    <w:rsid w:val="00B10CE2"/>
    <w:rsid w:val="00B11217"/>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4847"/>
    <w:rsid w:val="00B569B1"/>
    <w:rsid w:val="00B56DFB"/>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976B0"/>
    <w:rsid w:val="00BA204C"/>
    <w:rsid w:val="00BA2D4C"/>
    <w:rsid w:val="00BA70CB"/>
    <w:rsid w:val="00BB2075"/>
    <w:rsid w:val="00BB2CCE"/>
    <w:rsid w:val="00BB51C8"/>
    <w:rsid w:val="00BB56D3"/>
    <w:rsid w:val="00BB65D4"/>
    <w:rsid w:val="00BB6CB4"/>
    <w:rsid w:val="00BC112C"/>
    <w:rsid w:val="00BC163B"/>
    <w:rsid w:val="00BC2F6B"/>
    <w:rsid w:val="00BC3B75"/>
    <w:rsid w:val="00BC46F2"/>
    <w:rsid w:val="00BC4731"/>
    <w:rsid w:val="00BC5B4D"/>
    <w:rsid w:val="00BC6222"/>
    <w:rsid w:val="00BD0512"/>
    <w:rsid w:val="00BD201F"/>
    <w:rsid w:val="00BD2FEA"/>
    <w:rsid w:val="00BD3371"/>
    <w:rsid w:val="00BE34FF"/>
    <w:rsid w:val="00BE3AD8"/>
    <w:rsid w:val="00BE50F2"/>
    <w:rsid w:val="00BF1A9A"/>
    <w:rsid w:val="00BF50A2"/>
    <w:rsid w:val="00BF6B66"/>
    <w:rsid w:val="00C0329C"/>
    <w:rsid w:val="00C06A36"/>
    <w:rsid w:val="00C06DF3"/>
    <w:rsid w:val="00C07667"/>
    <w:rsid w:val="00C123BB"/>
    <w:rsid w:val="00C12AF0"/>
    <w:rsid w:val="00C13C29"/>
    <w:rsid w:val="00C15670"/>
    <w:rsid w:val="00C17310"/>
    <w:rsid w:val="00C206F2"/>
    <w:rsid w:val="00C24AB5"/>
    <w:rsid w:val="00C255E8"/>
    <w:rsid w:val="00C261AB"/>
    <w:rsid w:val="00C302E1"/>
    <w:rsid w:val="00C3235B"/>
    <w:rsid w:val="00C326A0"/>
    <w:rsid w:val="00C348C0"/>
    <w:rsid w:val="00C34E40"/>
    <w:rsid w:val="00C350C3"/>
    <w:rsid w:val="00C378AF"/>
    <w:rsid w:val="00C41328"/>
    <w:rsid w:val="00C413E2"/>
    <w:rsid w:val="00C41919"/>
    <w:rsid w:val="00C42CAE"/>
    <w:rsid w:val="00C470F8"/>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1354"/>
    <w:rsid w:val="00CA618A"/>
    <w:rsid w:val="00CA6263"/>
    <w:rsid w:val="00CA640F"/>
    <w:rsid w:val="00CA6C68"/>
    <w:rsid w:val="00CA7FAB"/>
    <w:rsid w:val="00CB3E27"/>
    <w:rsid w:val="00CB4E1D"/>
    <w:rsid w:val="00CC1A28"/>
    <w:rsid w:val="00CC6A3F"/>
    <w:rsid w:val="00CC7DE2"/>
    <w:rsid w:val="00CC7E1D"/>
    <w:rsid w:val="00CD7577"/>
    <w:rsid w:val="00CD7F25"/>
    <w:rsid w:val="00CE16A1"/>
    <w:rsid w:val="00CE4FDE"/>
    <w:rsid w:val="00CF2D8C"/>
    <w:rsid w:val="00CF2DE2"/>
    <w:rsid w:val="00CF30C4"/>
    <w:rsid w:val="00CF48EA"/>
    <w:rsid w:val="00CF63C2"/>
    <w:rsid w:val="00CF6CFA"/>
    <w:rsid w:val="00D00E91"/>
    <w:rsid w:val="00D01D25"/>
    <w:rsid w:val="00D02E23"/>
    <w:rsid w:val="00D03108"/>
    <w:rsid w:val="00D04484"/>
    <w:rsid w:val="00D07A31"/>
    <w:rsid w:val="00D1398A"/>
    <w:rsid w:val="00D16135"/>
    <w:rsid w:val="00D16ADA"/>
    <w:rsid w:val="00D17EE8"/>
    <w:rsid w:val="00D21056"/>
    <w:rsid w:val="00D23F49"/>
    <w:rsid w:val="00D243E7"/>
    <w:rsid w:val="00D24469"/>
    <w:rsid w:val="00D24893"/>
    <w:rsid w:val="00D30146"/>
    <w:rsid w:val="00D3059B"/>
    <w:rsid w:val="00D312D2"/>
    <w:rsid w:val="00D33BE3"/>
    <w:rsid w:val="00D37E3E"/>
    <w:rsid w:val="00D402DF"/>
    <w:rsid w:val="00D43612"/>
    <w:rsid w:val="00D44362"/>
    <w:rsid w:val="00D4697C"/>
    <w:rsid w:val="00D52CBF"/>
    <w:rsid w:val="00D546D2"/>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B5F3B"/>
    <w:rsid w:val="00DB7EEF"/>
    <w:rsid w:val="00DC50E2"/>
    <w:rsid w:val="00DC54A0"/>
    <w:rsid w:val="00DC6C9C"/>
    <w:rsid w:val="00DC7EB2"/>
    <w:rsid w:val="00DD005F"/>
    <w:rsid w:val="00DD0624"/>
    <w:rsid w:val="00DD13B0"/>
    <w:rsid w:val="00DD3899"/>
    <w:rsid w:val="00DD6678"/>
    <w:rsid w:val="00DE13B8"/>
    <w:rsid w:val="00DE19B1"/>
    <w:rsid w:val="00DE378C"/>
    <w:rsid w:val="00DE7055"/>
    <w:rsid w:val="00DE71AB"/>
    <w:rsid w:val="00DF25C5"/>
    <w:rsid w:val="00DF2FF3"/>
    <w:rsid w:val="00DF3134"/>
    <w:rsid w:val="00DF4908"/>
    <w:rsid w:val="00DF4FBF"/>
    <w:rsid w:val="00DF589E"/>
    <w:rsid w:val="00DF5A9A"/>
    <w:rsid w:val="00DF7145"/>
    <w:rsid w:val="00DF7327"/>
    <w:rsid w:val="00DF7A40"/>
    <w:rsid w:val="00E0295D"/>
    <w:rsid w:val="00E034FB"/>
    <w:rsid w:val="00E07D2A"/>
    <w:rsid w:val="00E10B1C"/>
    <w:rsid w:val="00E111AC"/>
    <w:rsid w:val="00E13CDE"/>
    <w:rsid w:val="00E14817"/>
    <w:rsid w:val="00E168E3"/>
    <w:rsid w:val="00E203EF"/>
    <w:rsid w:val="00E2068B"/>
    <w:rsid w:val="00E20DD5"/>
    <w:rsid w:val="00E213A7"/>
    <w:rsid w:val="00E215DF"/>
    <w:rsid w:val="00E2190B"/>
    <w:rsid w:val="00E226C6"/>
    <w:rsid w:val="00E247EF"/>
    <w:rsid w:val="00E2682A"/>
    <w:rsid w:val="00E26996"/>
    <w:rsid w:val="00E27678"/>
    <w:rsid w:val="00E27B37"/>
    <w:rsid w:val="00E3200D"/>
    <w:rsid w:val="00E340A7"/>
    <w:rsid w:val="00E34208"/>
    <w:rsid w:val="00E37290"/>
    <w:rsid w:val="00E37A55"/>
    <w:rsid w:val="00E41C6F"/>
    <w:rsid w:val="00E45107"/>
    <w:rsid w:val="00E47B5D"/>
    <w:rsid w:val="00E47F4C"/>
    <w:rsid w:val="00E52467"/>
    <w:rsid w:val="00E52D98"/>
    <w:rsid w:val="00E544F9"/>
    <w:rsid w:val="00E54B1B"/>
    <w:rsid w:val="00E571E1"/>
    <w:rsid w:val="00E57809"/>
    <w:rsid w:val="00E6033F"/>
    <w:rsid w:val="00E603B8"/>
    <w:rsid w:val="00E60A37"/>
    <w:rsid w:val="00E6111E"/>
    <w:rsid w:val="00E6170C"/>
    <w:rsid w:val="00E61EE7"/>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13DC"/>
    <w:rsid w:val="00E94212"/>
    <w:rsid w:val="00E96D0F"/>
    <w:rsid w:val="00EA1ADC"/>
    <w:rsid w:val="00EA23A7"/>
    <w:rsid w:val="00EA75C1"/>
    <w:rsid w:val="00EB295F"/>
    <w:rsid w:val="00EB3B91"/>
    <w:rsid w:val="00EB6314"/>
    <w:rsid w:val="00EB78F4"/>
    <w:rsid w:val="00EC0DD2"/>
    <w:rsid w:val="00EC1591"/>
    <w:rsid w:val="00EC16F8"/>
    <w:rsid w:val="00EC2A8D"/>
    <w:rsid w:val="00EC48C8"/>
    <w:rsid w:val="00EC4FD6"/>
    <w:rsid w:val="00EC571A"/>
    <w:rsid w:val="00EC7E81"/>
    <w:rsid w:val="00ED0949"/>
    <w:rsid w:val="00ED13D2"/>
    <w:rsid w:val="00ED219D"/>
    <w:rsid w:val="00ED3206"/>
    <w:rsid w:val="00ED6BE8"/>
    <w:rsid w:val="00EE0ED9"/>
    <w:rsid w:val="00EE109E"/>
    <w:rsid w:val="00EE23B1"/>
    <w:rsid w:val="00EE2E55"/>
    <w:rsid w:val="00EE382A"/>
    <w:rsid w:val="00EE3EB0"/>
    <w:rsid w:val="00EE6BC0"/>
    <w:rsid w:val="00EF1C05"/>
    <w:rsid w:val="00EF2700"/>
    <w:rsid w:val="00EF3951"/>
    <w:rsid w:val="00EF6426"/>
    <w:rsid w:val="00F00A68"/>
    <w:rsid w:val="00F01A04"/>
    <w:rsid w:val="00F02006"/>
    <w:rsid w:val="00F041A6"/>
    <w:rsid w:val="00F0574A"/>
    <w:rsid w:val="00F1033C"/>
    <w:rsid w:val="00F10944"/>
    <w:rsid w:val="00F166D4"/>
    <w:rsid w:val="00F178D4"/>
    <w:rsid w:val="00F25859"/>
    <w:rsid w:val="00F25C38"/>
    <w:rsid w:val="00F26BBC"/>
    <w:rsid w:val="00F33A99"/>
    <w:rsid w:val="00F35E7E"/>
    <w:rsid w:val="00F40E0E"/>
    <w:rsid w:val="00F45106"/>
    <w:rsid w:val="00F4528C"/>
    <w:rsid w:val="00F468BF"/>
    <w:rsid w:val="00F50FEE"/>
    <w:rsid w:val="00F5422C"/>
    <w:rsid w:val="00F560DD"/>
    <w:rsid w:val="00F56D4C"/>
    <w:rsid w:val="00F63914"/>
    <w:rsid w:val="00F652E9"/>
    <w:rsid w:val="00F658F3"/>
    <w:rsid w:val="00F65A20"/>
    <w:rsid w:val="00F676D0"/>
    <w:rsid w:val="00F679ED"/>
    <w:rsid w:val="00F67C74"/>
    <w:rsid w:val="00F67D26"/>
    <w:rsid w:val="00F72E3C"/>
    <w:rsid w:val="00F73A7B"/>
    <w:rsid w:val="00F8016B"/>
    <w:rsid w:val="00F804E1"/>
    <w:rsid w:val="00F842CA"/>
    <w:rsid w:val="00F84602"/>
    <w:rsid w:val="00F84AE0"/>
    <w:rsid w:val="00F86D89"/>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2751"/>
    <w:rsid w:val="00FC6A15"/>
    <w:rsid w:val="00FC6AA4"/>
    <w:rsid w:val="00FC7F48"/>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263"/>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uiPriority w:val="99"/>
    <w:semiHidden/>
    <w:unhideWhenUsed/>
    <w:rsid w:val="002F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03931498">
      <w:bodyDiv w:val="1"/>
      <w:marLeft w:val="0"/>
      <w:marRight w:val="0"/>
      <w:marTop w:val="0"/>
      <w:marBottom w:val="0"/>
      <w:divBdr>
        <w:top w:val="none" w:sz="0" w:space="0" w:color="auto"/>
        <w:left w:val="none" w:sz="0" w:space="0" w:color="auto"/>
        <w:bottom w:val="none" w:sz="0" w:space="0" w:color="auto"/>
        <w:right w:val="none" w:sz="0" w:space="0" w:color="auto"/>
      </w:divBdr>
      <w:divsChild>
        <w:div w:id="1948079749">
          <w:marLeft w:val="0"/>
          <w:marRight w:val="0"/>
          <w:marTop w:val="0"/>
          <w:marBottom w:val="0"/>
          <w:divBdr>
            <w:top w:val="none" w:sz="0" w:space="0" w:color="auto"/>
            <w:left w:val="none" w:sz="0" w:space="0" w:color="auto"/>
            <w:bottom w:val="none" w:sz="0" w:space="0" w:color="auto"/>
            <w:right w:val="none" w:sz="0" w:space="0" w:color="auto"/>
          </w:divBdr>
        </w:div>
        <w:div w:id="1599368971">
          <w:marLeft w:val="0"/>
          <w:marRight w:val="0"/>
          <w:marTop w:val="0"/>
          <w:marBottom w:val="0"/>
          <w:divBdr>
            <w:top w:val="none" w:sz="0" w:space="0" w:color="auto"/>
            <w:left w:val="none" w:sz="0" w:space="0" w:color="auto"/>
            <w:bottom w:val="none" w:sz="0" w:space="0" w:color="auto"/>
            <w:right w:val="none" w:sz="0" w:space="0" w:color="auto"/>
          </w:divBdr>
        </w:div>
      </w:divsChild>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389260702">
      <w:bodyDiv w:val="1"/>
      <w:marLeft w:val="0"/>
      <w:marRight w:val="0"/>
      <w:marTop w:val="0"/>
      <w:marBottom w:val="0"/>
      <w:divBdr>
        <w:top w:val="none" w:sz="0" w:space="0" w:color="auto"/>
        <w:left w:val="none" w:sz="0" w:space="0" w:color="auto"/>
        <w:bottom w:val="none" w:sz="0" w:space="0" w:color="auto"/>
        <w:right w:val="none" w:sz="0" w:space="0" w:color="auto"/>
      </w:divBdr>
      <w:divsChild>
        <w:div w:id="372582169">
          <w:marLeft w:val="0"/>
          <w:marRight w:val="0"/>
          <w:marTop w:val="0"/>
          <w:marBottom w:val="0"/>
          <w:divBdr>
            <w:top w:val="none" w:sz="0" w:space="0" w:color="auto"/>
            <w:left w:val="none" w:sz="0" w:space="0" w:color="auto"/>
            <w:bottom w:val="none" w:sz="0" w:space="0" w:color="auto"/>
            <w:right w:val="none" w:sz="0" w:space="0" w:color="auto"/>
          </w:divBdr>
        </w:div>
        <w:div w:id="1983266706">
          <w:marLeft w:val="0"/>
          <w:marRight w:val="0"/>
          <w:marTop w:val="0"/>
          <w:marBottom w:val="0"/>
          <w:divBdr>
            <w:top w:val="none" w:sz="0" w:space="0" w:color="auto"/>
            <w:left w:val="none" w:sz="0" w:space="0" w:color="auto"/>
            <w:bottom w:val="none" w:sz="0" w:space="0" w:color="auto"/>
            <w:right w:val="none" w:sz="0" w:space="0" w:color="auto"/>
          </w:divBdr>
        </w:div>
      </w:divsChild>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mania-serbia.net/transparency/procurements202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ikis.ec.europa.eu/display/ExactExternalWiki/Annex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ikis.ec.europa.eu/display/ExactExternalWiki/Annex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ePRA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atjana.djuric70@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kourbapv.vojvodina.gov.r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15</Pages>
  <Words>5973</Words>
  <Characters>32853</Characters>
  <Application>Microsoft Office Word</Application>
  <DocSecurity>0</DocSecurity>
  <Lines>566</Lines>
  <Paragraphs>264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38562</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187</cp:revision>
  <cp:lastPrinted>2018-04-13T13:21:00Z</cp:lastPrinted>
  <dcterms:created xsi:type="dcterms:W3CDTF">2018-12-18T11:39:00Z</dcterms:created>
  <dcterms:modified xsi:type="dcterms:W3CDTF">2025-10-26T08:21:00Z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