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95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835"/>
              <w:gridCol w:w="4835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10491A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10491A">
                    <w:rPr>
                      <w:rFonts w:asciiTheme="minorHAnsi" w:hAnsiTheme="minorHAnsi" w:cstheme="minorHAnsi"/>
                    </w:rPr>
                    <w:t>424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10491A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10491A">
                    <w:rPr>
                      <w:rFonts w:asciiTheme="minorHAnsi" w:hAnsiTheme="minorHAnsi" w:cstheme="minorHAnsi"/>
                    </w:rPr>
                    <w:t>004064601 2025 09415 005 001 000 001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065"/>
                    <w:gridCol w:w="1650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491A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10491A" w:rsidRPr="0010491A">
                    <w:rPr>
                      <w:rFonts w:asciiTheme="minorHAnsi" w:hAnsiTheme="minorHAnsi" w:cstheme="minorHAnsi"/>
                    </w:rPr>
                    <w:t xml:space="preserve">ЈКП „Пут“ Нови Сад, Руменачка 150/а, Нови Сад </w:t>
                  </w:r>
                </w:p>
                <w:p w:rsidR="00D22F27" w:rsidRPr="00FA4E4C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10491A" w:rsidRPr="0010491A">
                    <w:rPr>
                      <w:rFonts w:asciiTheme="minorHAnsi" w:hAnsiTheme="minorHAnsi" w:cstheme="minorHAnsi"/>
                      <w:lang w:val="sr-Cyrl-RS"/>
                    </w:rPr>
                    <w:t>08171963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10491A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10491A">
                    <w:rPr>
                      <w:rFonts w:asciiTheme="minorHAnsi" w:hAnsiTheme="minorHAnsi" w:cstheme="minorHAnsi"/>
                    </w:rPr>
                    <w:t>004064601 2025 09415 005 001 000 001</w:t>
                  </w:r>
                  <w:r w:rsidR="0010491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2624F8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10491A">
                    <w:rPr>
                      <w:rFonts w:asciiTheme="minorHAnsi" w:hAnsiTheme="minorHAnsi" w:cstheme="minorHAnsi"/>
                    </w:rPr>
                    <w:t>17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10491A">
                    <w:rPr>
                      <w:rFonts w:asciiTheme="minorHAnsi" w:hAnsiTheme="minorHAnsi" w:cstheme="minorHAnsi"/>
                    </w:rPr>
                    <w:t>1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1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10491A" w:rsidP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17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.202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5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10491A" w:rsidRDefault="0010491A" w:rsidP="0010491A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17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lang w:val="sr-Latn-RS"/>
                          </w:rPr>
                          <w:t>1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.20</w:t>
                        </w:r>
                        <w:r>
                          <w:rPr>
                            <w:rFonts w:asciiTheme="minorHAnsi" w:hAnsiTheme="minorHAnsi" w:cstheme="minorHAnsi"/>
                          </w:rPr>
                          <w:t>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3178C8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Транспорт неопасног отпада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Pr="00FA4E4C" w:rsidRDefault="00FA4E4C" w:rsidP="00FA4E4C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транспортује:</w:t>
                  </w:r>
                </w:p>
                <w:tbl>
                  <w:tblPr>
                    <w:tblStyle w:val="TableGrid2"/>
                    <w:tblW w:w="9540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7991"/>
                  </w:tblGrid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17 01 01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бетон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17 01 02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цигле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17 01 03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цреп и керамика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17 01 07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мешавине или поједине фракције бетона, цигле, плочице и керамика другачији од оних наведених у 17 01 06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17 02 01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дрво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17 02 02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стакло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17 02 03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пластика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17 03 02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битуминозне мешавине другачије од оних наведених у 17 03 01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17 04 01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бакар, бронза, месинг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алуминијум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17 04 03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олово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17 04 04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цинк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17 04 05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гвожђе и челик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17 04 06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калај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17 04 07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мешани метали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17 05 04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земља и камен другачији од оних наведених у 17 05 03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lastRenderedPageBreak/>
                          <w:t>17 05 06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ископ другачији од оног наведеног у 17 05 05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17 08 02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грађевински материјал на бази гипса другачији од оних наведених у 17 08 01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17 09 04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мешани отпади од грађења и рушења другачији од оних наведених у 17 09 01 и 17 09 02 и 17 09 03</w:t>
                        </w:r>
                      </w:p>
                    </w:tc>
                  </w:tr>
                  <w:tr w:rsidR="0010491A" w:rsidRPr="00396060" w:rsidTr="000A643A">
                    <w:tc>
                      <w:tcPr>
                        <w:tcW w:w="1549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20 02 02</w:t>
                        </w:r>
                      </w:p>
                    </w:tc>
                    <w:tc>
                      <w:tcPr>
                        <w:tcW w:w="7991" w:type="dxa"/>
                      </w:tcPr>
                      <w:p w:rsidR="0010491A" w:rsidRPr="0010491A" w:rsidRDefault="0010491A" w:rsidP="0010491A">
                        <w:pPr>
                          <w:pStyle w:val="normalcentar"/>
                          <w:jc w:val="left"/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</w:pPr>
                        <w:r w:rsidRPr="0010491A">
                          <w:rPr>
                            <w:rFonts w:asciiTheme="minorHAnsi" w:eastAsia="Times New Roman" w:hAnsiTheme="minorHAnsi" w:cstheme="minorHAnsi"/>
                            <w:lang w:val="sr-Cyrl-RS"/>
                          </w:rPr>
                          <w:t>земља и камен</w:t>
                        </w:r>
                      </w:p>
                    </w:tc>
                  </w:tr>
                </w:tbl>
                <w:p w:rsidR="00FA4E4C" w:rsidRDefault="00FA4E4C" w:rsidP="00FA4E4C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транспорт</w:t>
                  </w:r>
                </w:p>
                <w:p w:rsidR="003178C8" w:rsidRDefault="00D22F27" w:rsidP="003178C8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Превозно средство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bookmarkStart w:id="1" w:name="_Hlk211531716"/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65C15D, укупне масе 6300, регистарске ознакe NS384-AO</w:t>
                  </w:r>
                </w:p>
                <w:bookmarkEnd w:id="1"/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65C15D, укупне масе 6500, регистарске ознакe NS138-EB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DAF FAT CF 85 6X4, укупне масе 33000, регистарске ознакe NS257-RZ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70C17LD, укупне масе 6700, регистарске ознакe NS542-DH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55S18W, укупне масе 5500, регистарске ознакe NS327-VF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55S18W, укупне масе 5500, регистарске ознакe NS327-VG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55S18W, укупне масе 5500, регистарске ознакe NS777-UV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AXOR 1824 K, укупне масе 18000, регистарске ознакe NS672-RL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bookmarkStart w:id="2" w:name="_Hlk211532537"/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AXOR 1824 K, укупне масе 18000, регистарске ознакe NS673-AC</w:t>
                  </w:r>
                </w:p>
                <w:bookmarkEnd w:id="2"/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AXOR 1824 K, укупне масе 18000, регистарске ознакe NS672-IZ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AXOR 1824 K, укупне масе 18000, регистарске ознакe NS672-NA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160 E, укупне масе 16000, регистарске ознакe NS299-SJ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ML80 E18, укупне масе 8000, регистарске ознакe NS273-GN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ACTROS 3340K/33 6X4, укупне масе 33000, регистарске ознакe NS673-CZ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ACTROS 3340K/33 6X4, укупне масе 33000, регистарске ознакe NS139-ON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ACTROS 3341K 33, укупне масе 33000, регистарске ознакe NS140-FK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FM64R, укупне масе 34500, регистарске ознакe NS411-GM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FM64R, укупне масе 34500, регистарске ознакe NS411-GN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FM64R, укупне масе 34500, регистарске ознакe NS411-GO</w:t>
                  </w:r>
                </w:p>
                <w:p w:rsidR="0010491A" w:rsidRPr="00396060" w:rsidRDefault="0010491A" w:rsidP="0010491A">
                  <w:pPr>
                    <w:jc w:val="both"/>
                    <w:rPr>
                      <w:rFonts w:cstheme="minorHAnsi"/>
                      <w:lang w:val="sr-Cyrl-R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FM64R, укупне масе 34500, регистарске</w:t>
                  </w:r>
                  <w:r w:rsidRPr="00396060">
                    <w:rPr>
                      <w:rFonts w:cstheme="minorHAnsi"/>
                      <w:lang w:val="sr-Cyrl-RS"/>
                    </w:rPr>
                    <w:t xml:space="preserve"> ознакe NS411-G</w:t>
                  </w:r>
                  <w:r w:rsidRPr="00396060">
                    <w:rPr>
                      <w:rFonts w:cstheme="minorHAnsi"/>
                    </w:rPr>
                    <w:t>P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FM64R, укупне масе 34500, регистарске ознакe NS411-GR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VOLVO FM, укупне масе 34000, регистарске ознакe NS516-ZI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DAF LF 260 FA, укупне масе 19000, регистарске ознакe NS635-JO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DAF LF 260 FA, укупне масе 19000, регистарске ознакe NS635-JP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DAF LF 260 FA, укупне масе 19000, регистарске ознакe NS635-JS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NS383-AG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NS383-AH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NS383-AI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35S12, укупне масе 3500, регистарске ознакe NS397-PE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IVECO 35S12, </w:t>
                  </w:r>
                  <w:bookmarkStart w:id="3" w:name="_Hlk211533475"/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укупне масе 3500, регистарске ознакe NS397-PF</w:t>
                  </w:r>
                  <w:bookmarkEnd w:id="3"/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5700, регистарске ознакe NS616-EG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5700, регистарске ознакe NS627-RO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5700, регистарске ознакe NS634-DU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NS636-TL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bookmarkStart w:id="4" w:name="_Hlk211533886"/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NS636-XA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bookmarkStart w:id="5" w:name="_Hlk211533767"/>
                  <w:bookmarkEnd w:id="4"/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5500, регистарске ознакe NS739-XD</w:t>
                  </w:r>
                </w:p>
                <w:bookmarkEnd w:id="5"/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5500, регистарске ознакe NS748-TF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BONETTI FX100/55E6D, укупне масе 5500, регистарске ознакe NS748-TG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NS760-RT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70C18, укупне масе 7000, регистарске ознакe NS760-RU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ATEGO 1318 K/33, укупне масе 13500, регистарске ознакe NS810-VO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BENZ ATEGO 1318 K33, укупне масе 13500, регистарске ознакe NS067-ZA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lastRenderedPageBreak/>
                    <w:t>MERCEDES ATEGO 1318 K/33, укупне масе 13500, регистарске ознакe NS402-RT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ATEGO 1318 K/33, укупне масе 13500, регистарске ознакe NS753-GD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65C15, укупне масе 6500, регистарске ознакe NS147-PH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65C15, укупне масе 6300, регистарске ознакe NS147-PG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70C17D, укупне масе 6700, регистарске ознакe NS406-FI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IVECO DAILY 70C17D, укупне масе 6700, регистарске ознакe NS742-UX</w:t>
                  </w:r>
                </w:p>
                <w:p w:rsidR="0010491A" w:rsidRPr="0010491A" w:rsidRDefault="0010491A" w:rsidP="0010491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0491A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MERCEDES ACTROS 3341 K 33, укупне масе 33000, регистарске ознакe NS252-SO</w:t>
                  </w:r>
                </w:p>
                <w:p w:rsidR="009E65B9" w:rsidRPr="009E65B9" w:rsidRDefault="00D22F27" w:rsidP="0010491A">
                  <w:pPr>
                    <w:ind w:right="98"/>
                    <w:rPr>
                      <w:rFonts w:cstheme="minorHAnsi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9E65B9" w:rsidRDefault="009E65B9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10491A" w:rsidRPr="001049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привредно друштво ЈКП „Пут“ Нови Сад, Руменачка 150/а, Нови Сад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 w:rsidP="0010491A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Промене:</w:t>
                  </w:r>
                  <w:r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bookmarkStart w:id="6" w:name="_GoBack"/>
                  <w:bookmarkEnd w:id="6"/>
                  <w:r>
                    <w:rPr>
                      <w:rFonts w:asciiTheme="minorHAnsi" w:hAnsiTheme="minorHAnsi" w:cstheme="minorHAnsi"/>
                    </w:rPr>
                    <w:t>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5C" w:rsidRDefault="000C525C">
      <w:r>
        <w:separator/>
      </w:r>
    </w:p>
  </w:endnote>
  <w:endnote w:type="continuationSeparator" w:id="0">
    <w:p w:rsidR="000C525C" w:rsidRDefault="000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5C" w:rsidRDefault="000C525C">
      <w:r>
        <w:separator/>
      </w:r>
    </w:p>
  </w:footnote>
  <w:footnote w:type="continuationSeparator" w:id="0">
    <w:p w:rsidR="000C525C" w:rsidRDefault="000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EA5"/>
    <w:multiLevelType w:val="hybridMultilevel"/>
    <w:tmpl w:val="8C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37799"/>
    <w:multiLevelType w:val="hybridMultilevel"/>
    <w:tmpl w:val="D854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A5848"/>
    <w:multiLevelType w:val="hybridMultilevel"/>
    <w:tmpl w:val="E1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43BD6CF8"/>
    <w:multiLevelType w:val="hybridMultilevel"/>
    <w:tmpl w:val="C88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879FD"/>
    <w:multiLevelType w:val="hybridMultilevel"/>
    <w:tmpl w:val="7D98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266442"/>
    <w:multiLevelType w:val="hybridMultilevel"/>
    <w:tmpl w:val="39EA5886"/>
    <w:lvl w:ilvl="0" w:tplc="401CE1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91D2C"/>
    <w:multiLevelType w:val="hybridMultilevel"/>
    <w:tmpl w:val="C9F08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9"/>
  </w:num>
  <w:num w:numId="8">
    <w:abstractNumId w:val="12"/>
  </w:num>
  <w:num w:numId="9">
    <w:abstractNumId w:val="12"/>
  </w:num>
  <w:num w:numId="10">
    <w:abstractNumId w:val="18"/>
  </w:num>
  <w:num w:numId="11">
    <w:abstractNumId w:val="12"/>
  </w:num>
  <w:num w:numId="12">
    <w:abstractNumId w:val="12"/>
  </w:num>
  <w:num w:numId="13">
    <w:abstractNumId w:val="12"/>
  </w:num>
  <w:num w:numId="14">
    <w:abstractNumId w:val="18"/>
  </w:num>
  <w:num w:numId="15">
    <w:abstractNumId w:val="18"/>
  </w:num>
  <w:num w:numId="16">
    <w:abstractNumId w:val="18"/>
  </w:num>
  <w:num w:numId="17">
    <w:abstractNumId w:val="11"/>
  </w:num>
  <w:num w:numId="18">
    <w:abstractNumId w:val="12"/>
  </w:num>
  <w:num w:numId="19">
    <w:abstractNumId w:val="19"/>
  </w:num>
  <w:num w:numId="20">
    <w:abstractNumId w:val="12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14"/>
  </w:num>
  <w:num w:numId="36">
    <w:abstractNumId w:val="14"/>
  </w:num>
  <w:num w:numId="37">
    <w:abstractNumId w:val="24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23"/>
  </w:num>
  <w:num w:numId="43">
    <w:abstractNumId w:val="22"/>
  </w:num>
  <w:num w:numId="44">
    <w:abstractNumId w:val="13"/>
  </w:num>
  <w:num w:numId="45">
    <w:abstractNumId w:val="21"/>
  </w:num>
  <w:num w:numId="46">
    <w:abstractNumId w:val="20"/>
  </w:num>
  <w:num w:numId="47">
    <w:abstractNumId w:val="1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0C525C"/>
    <w:rsid w:val="0010491A"/>
    <w:rsid w:val="001A7E73"/>
    <w:rsid w:val="002366D0"/>
    <w:rsid w:val="002624F8"/>
    <w:rsid w:val="003178C8"/>
    <w:rsid w:val="00457BC3"/>
    <w:rsid w:val="004C6591"/>
    <w:rsid w:val="00535B64"/>
    <w:rsid w:val="005A354C"/>
    <w:rsid w:val="005A4B06"/>
    <w:rsid w:val="005D4181"/>
    <w:rsid w:val="006C65D8"/>
    <w:rsid w:val="00746B02"/>
    <w:rsid w:val="007C5C9E"/>
    <w:rsid w:val="00845573"/>
    <w:rsid w:val="009B4397"/>
    <w:rsid w:val="009E65B9"/>
    <w:rsid w:val="009E6F15"/>
    <w:rsid w:val="00AB23A9"/>
    <w:rsid w:val="00AC15DC"/>
    <w:rsid w:val="00AC3DEF"/>
    <w:rsid w:val="00AF0C2F"/>
    <w:rsid w:val="00B052F3"/>
    <w:rsid w:val="00B34208"/>
    <w:rsid w:val="00BF108B"/>
    <w:rsid w:val="00C11276"/>
    <w:rsid w:val="00C44360"/>
    <w:rsid w:val="00C9175B"/>
    <w:rsid w:val="00CB2E3A"/>
    <w:rsid w:val="00CE4A53"/>
    <w:rsid w:val="00D22F27"/>
    <w:rsid w:val="00ED5304"/>
    <w:rsid w:val="00F16A84"/>
    <w:rsid w:val="00F733D4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B1E30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table" w:customStyle="1" w:styleId="TableGrid2">
    <w:name w:val="Table Grid2"/>
    <w:basedOn w:val="TableNormal"/>
    <w:next w:val="TableGrid"/>
    <w:rsid w:val="001049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2</cp:revision>
  <dcterms:created xsi:type="dcterms:W3CDTF">2025-11-20T13:57:00Z</dcterms:created>
  <dcterms:modified xsi:type="dcterms:W3CDTF">2025-11-20T13:57:00Z</dcterms:modified>
</cp:coreProperties>
</file>