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3363FF0F" w14:textId="44789900" w:rsidR="006F5FD0" w:rsidRPr="00B33EE6" w:rsidRDefault="00A00023">
      <w:pPr>
        <w:jc w:val="center"/>
        <w:rPr>
          <w:sz w:val="28"/>
          <w:szCs w:val="28"/>
          <w:lang w:val="en-GB"/>
        </w:rPr>
      </w:pPr>
      <w:r>
        <w:rPr>
          <w:b/>
        </w:rPr>
        <w:t xml:space="preserve">Procurement for </w:t>
      </w:r>
      <w:r w:rsidRPr="00560710">
        <w:rPr>
          <w:b/>
        </w:rPr>
        <w:t xml:space="preserve">Service of mapping of industrial </w:t>
      </w:r>
      <w:proofErr w:type="gramStart"/>
      <w:r w:rsidRPr="00560710">
        <w:rPr>
          <w:b/>
        </w:rPr>
        <w:t>waste water</w:t>
      </w:r>
      <w:proofErr w:type="gramEnd"/>
      <w:r w:rsidRPr="00560710">
        <w:rPr>
          <w:b/>
        </w:rPr>
        <w:t xml:space="preserve"> </w:t>
      </w:r>
      <w:proofErr w:type="spellStart"/>
      <w:r w:rsidRPr="00560710">
        <w:rPr>
          <w:b/>
        </w:rPr>
        <w:t>polutions</w:t>
      </w:r>
      <w:proofErr w:type="spellEnd"/>
      <w:r>
        <w:rPr>
          <w:b/>
        </w:rPr>
        <w:t xml:space="preserve"> for project</w:t>
      </w:r>
      <w:r w:rsidRPr="00EE6FF4">
        <w:rPr>
          <w:b/>
        </w:rPr>
        <w:t xml:space="preserve">: </w:t>
      </w:r>
      <w:r w:rsidRPr="00D7647F">
        <w:rPr>
          <w:b/>
        </w:rPr>
        <w:t>BEST WASTEWATER</w:t>
      </w:r>
      <w:r w:rsidR="006F5FD0" w:rsidRPr="00B33EE6">
        <w:rPr>
          <w:rStyle w:val="Strong"/>
          <w:sz w:val="28"/>
          <w:szCs w:val="28"/>
          <w:lang w:val="en-GB"/>
        </w:rPr>
        <w:br/>
      </w:r>
      <w:r w:rsidRPr="00FB2159">
        <w:rPr>
          <w:rStyle w:val="Strong"/>
          <w:sz w:val="28"/>
          <w:szCs w:val="28"/>
          <w:lang w:val="en-GB"/>
        </w:rPr>
        <w:t xml:space="preserve">Location </w:t>
      </w:r>
      <w:r>
        <w:rPr>
          <w:rStyle w:val="Strong"/>
          <w:sz w:val="28"/>
          <w:szCs w:val="28"/>
          <w:lang w:val="en-GB"/>
        </w:rPr>
        <w:t>–</w:t>
      </w:r>
      <w:r w:rsidRPr="00FB2159">
        <w:rPr>
          <w:rStyle w:val="Strong"/>
          <w:sz w:val="28"/>
          <w:szCs w:val="28"/>
          <w:lang w:val="en-GB"/>
        </w:rPr>
        <w:t xml:space="preserve"> </w:t>
      </w:r>
      <w:r>
        <w:rPr>
          <w:rStyle w:val="Strong"/>
          <w:b w:val="0"/>
          <w:bCs/>
          <w:sz w:val="28"/>
          <w:szCs w:val="28"/>
          <w:lang w:val="en-GB"/>
        </w:rPr>
        <w:t>Novi Sad</w:t>
      </w:r>
      <w:r w:rsidRPr="007303B7">
        <w:rPr>
          <w:rStyle w:val="Emphasis"/>
          <w:i w:val="0"/>
          <w:sz w:val="28"/>
          <w:szCs w:val="28"/>
          <w:lang w:val="en-GB"/>
        </w:rPr>
        <w:t>/</w:t>
      </w:r>
      <w:r>
        <w:rPr>
          <w:rStyle w:val="Emphasis"/>
          <w:i w:val="0"/>
          <w:sz w:val="28"/>
          <w:szCs w:val="28"/>
          <w:lang w:val="en-GB"/>
        </w:rPr>
        <w:t>Autonomous Province of Vojvodina</w:t>
      </w:r>
      <w:r w:rsidRPr="007303B7">
        <w:rPr>
          <w:rStyle w:val="Emphasis"/>
          <w:i w:val="0"/>
          <w:sz w:val="28"/>
          <w:szCs w:val="28"/>
          <w:lang w:val="en-GB"/>
        </w:rPr>
        <w:t>/</w:t>
      </w:r>
      <w:r>
        <w:rPr>
          <w:rStyle w:val="Emphasis"/>
          <w:i w:val="0"/>
          <w:sz w:val="28"/>
          <w:szCs w:val="28"/>
          <w:lang w:val="en-GB"/>
        </w:rPr>
        <w:t>Republic of Serbia</w:t>
      </w:r>
      <w:r w:rsidR="00EA1731">
        <w:rPr>
          <w:rStyle w:val="Emphasis"/>
          <w:i w:val="0"/>
          <w:sz w:val="28"/>
          <w:szCs w:val="28"/>
          <w:lang w:val="en-GB"/>
        </w:rPr>
        <w:t xml:space="preserve"> </w:t>
      </w:r>
    </w:p>
    <w:p w14:paraId="1BE20B1E" w14:textId="77777777" w:rsidR="006F5FD0" w:rsidRPr="00B33EE6" w:rsidRDefault="007727F3" w:rsidP="001A6777">
      <w:pPr>
        <w:ind w:left="284" w:hanging="284"/>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18F70C46" w:rsidR="006F5FD0" w:rsidRPr="00B33EE6" w:rsidRDefault="00A00023" w:rsidP="001A6777">
      <w:pPr>
        <w:pStyle w:val="Blockquote"/>
        <w:ind w:left="284" w:hanging="284"/>
        <w:rPr>
          <w:i/>
          <w:sz w:val="22"/>
          <w:szCs w:val="22"/>
          <w:lang w:val="en-GB"/>
        </w:rPr>
      </w:pPr>
      <w:r w:rsidRPr="00A00023">
        <w:rPr>
          <w:rStyle w:val="Emphasis"/>
          <w:i w:val="0"/>
          <w:sz w:val="22"/>
          <w:szCs w:val="22"/>
          <w:lang w:val="en-GB"/>
        </w:rPr>
        <w:t>HUSRB/23R/12/047–4.2.1.</w:t>
      </w:r>
    </w:p>
    <w:p w14:paraId="7A3797D8" w14:textId="77777777" w:rsidR="006F5FD0" w:rsidRPr="00B33EE6" w:rsidRDefault="007727F3" w:rsidP="001A6777">
      <w:pPr>
        <w:ind w:left="284" w:hanging="284"/>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7652FA87" w:rsidR="006F5FD0" w:rsidRPr="00B33EE6" w:rsidRDefault="00AD1E4D" w:rsidP="00A00023">
      <w:pPr>
        <w:pStyle w:val="Blockquote"/>
        <w:ind w:left="0"/>
        <w:jc w:val="both"/>
        <w:rPr>
          <w:sz w:val="22"/>
          <w:szCs w:val="22"/>
          <w:lang w:val="en-GB"/>
        </w:rPr>
      </w:pPr>
      <w:r w:rsidRPr="00A00023">
        <w:rPr>
          <w:sz w:val="22"/>
          <w:szCs w:val="22"/>
          <w:lang w:val="en-GB"/>
        </w:rPr>
        <w:t>Simplified</w:t>
      </w:r>
      <w:r w:rsidR="00584BF4" w:rsidRPr="00B33EE6">
        <w:rPr>
          <w:sz w:val="22"/>
          <w:szCs w:val="22"/>
          <w:lang w:val="en-GB"/>
        </w:rPr>
        <w:t xml:space="preserve"> </w:t>
      </w:r>
    </w:p>
    <w:p w14:paraId="5F51B1AE" w14:textId="77777777" w:rsidR="00971962" w:rsidRPr="00B33EE6" w:rsidRDefault="006F5FD0" w:rsidP="001A6777">
      <w:pPr>
        <w:ind w:left="284" w:hanging="284"/>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48121C33" w:rsidR="00971962" w:rsidRPr="00B33EE6" w:rsidRDefault="00A00023" w:rsidP="001A6777">
      <w:pPr>
        <w:pStyle w:val="PRAGHeading2"/>
        <w:numPr>
          <w:ilvl w:val="0"/>
          <w:numId w:val="0"/>
        </w:numPr>
        <w:ind w:right="357"/>
        <w:rPr>
          <w:lang w:val="en-GB"/>
        </w:rPr>
      </w:pPr>
      <w:r w:rsidRPr="009362B7">
        <w:rPr>
          <w:lang w:val="en-GB"/>
        </w:rPr>
        <w:t xml:space="preserve">INTERREG IPA Cross-border Cooperation Programme </w:t>
      </w:r>
      <w:r>
        <w:rPr>
          <w:lang w:val="en-GB"/>
        </w:rPr>
        <w:t>Hungary</w:t>
      </w:r>
      <w:r w:rsidRPr="009362B7">
        <w:rPr>
          <w:lang w:val="en-GB"/>
        </w:rPr>
        <w:t>-Serbia</w:t>
      </w:r>
      <w:r w:rsidR="000D57AC">
        <w:rPr>
          <w:lang w:val="en-GB"/>
        </w:rPr>
        <w:t xml:space="preserve"> </w:t>
      </w:r>
    </w:p>
    <w:p w14:paraId="797EC4DC" w14:textId="77777777" w:rsidR="006F5FD0" w:rsidRPr="00B33EE6" w:rsidRDefault="006F5FD0" w:rsidP="001A6777">
      <w:pPr>
        <w:ind w:left="284" w:hanging="284"/>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3EB88932" w:rsidR="00502217" w:rsidRPr="00B33EE6" w:rsidRDefault="00A00023" w:rsidP="001A6777">
      <w:pPr>
        <w:pStyle w:val="Blockquote"/>
        <w:ind w:left="284" w:hanging="284"/>
        <w:jc w:val="both"/>
        <w:rPr>
          <w:sz w:val="22"/>
          <w:szCs w:val="22"/>
          <w:lang w:val="en-GB"/>
        </w:rPr>
      </w:pPr>
      <w:r w:rsidRPr="00A00023">
        <w:rPr>
          <w:rStyle w:val="Emphasis"/>
          <w:i w:val="0"/>
          <w:sz w:val="22"/>
          <w:szCs w:val="22"/>
          <w:lang w:val="en-GB"/>
        </w:rPr>
        <w:t>F</w:t>
      </w:r>
      <w:r w:rsidR="006F5FD0" w:rsidRPr="00A00023">
        <w:rPr>
          <w:rStyle w:val="Emphasis"/>
          <w:i w:val="0"/>
          <w:sz w:val="22"/>
          <w:szCs w:val="22"/>
          <w:lang w:val="en-GB"/>
        </w:rPr>
        <w:t>inancing agreement</w:t>
      </w:r>
    </w:p>
    <w:p w14:paraId="03ED8384" w14:textId="77777777" w:rsidR="006F5FD0" w:rsidRPr="00B33EE6" w:rsidRDefault="006F5FD0" w:rsidP="001A6777">
      <w:pPr>
        <w:ind w:left="284" w:hanging="284"/>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27DEFC7" w14:textId="77777777" w:rsidR="00A00023" w:rsidRPr="00A00023" w:rsidRDefault="00A00023" w:rsidP="00A00023">
      <w:pPr>
        <w:ind w:right="26"/>
        <w:jc w:val="both"/>
        <w:rPr>
          <w:rStyle w:val="Emphasis"/>
          <w:i w:val="0"/>
          <w:sz w:val="22"/>
          <w:szCs w:val="22"/>
          <w:lang w:val="en-GB"/>
        </w:rPr>
      </w:pPr>
      <w:r w:rsidRPr="00A00023">
        <w:rPr>
          <w:rStyle w:val="Emphasis"/>
          <w:i w:val="0"/>
          <w:sz w:val="22"/>
          <w:szCs w:val="22"/>
          <w:lang w:val="en-GB"/>
        </w:rPr>
        <w:t>The Provincial Secretariat for Urban Planning and Environmental Protection</w:t>
      </w:r>
    </w:p>
    <w:p w14:paraId="2259BEAD" w14:textId="244485C4" w:rsidR="006F5FD0" w:rsidRDefault="00A00023" w:rsidP="00A00023">
      <w:pPr>
        <w:ind w:right="26"/>
        <w:jc w:val="both"/>
        <w:rPr>
          <w:rStyle w:val="Emphasis"/>
          <w:i w:val="0"/>
          <w:sz w:val="22"/>
          <w:szCs w:val="22"/>
          <w:lang w:val="en-GB"/>
        </w:rPr>
      </w:pPr>
      <w:proofErr w:type="spellStart"/>
      <w:r w:rsidRPr="00A00023">
        <w:rPr>
          <w:rStyle w:val="Emphasis"/>
          <w:i w:val="0"/>
          <w:sz w:val="22"/>
          <w:szCs w:val="22"/>
          <w:lang w:val="en-GB"/>
        </w:rPr>
        <w:t>Bulevar</w:t>
      </w:r>
      <w:proofErr w:type="spellEnd"/>
      <w:r w:rsidRPr="00A00023">
        <w:rPr>
          <w:rStyle w:val="Emphasis"/>
          <w:i w:val="0"/>
          <w:sz w:val="22"/>
          <w:szCs w:val="22"/>
          <w:lang w:val="en-GB"/>
        </w:rPr>
        <w:t xml:space="preserve"> Mihajla Pupina, 16, 21101 Novi Sad, Republic of Serbia</w:t>
      </w:r>
      <w:r w:rsidR="006F5FD0" w:rsidRPr="00B33EE6">
        <w:rPr>
          <w:rStyle w:val="Emphasis"/>
          <w:i w:val="0"/>
          <w:sz w:val="22"/>
          <w:szCs w:val="22"/>
          <w:lang w:val="en-GB"/>
        </w:rPr>
        <w:t xml:space="preserve"> </w:t>
      </w:r>
    </w:p>
    <w:p w14:paraId="67F4A905" w14:textId="7132B82F" w:rsidR="006F5FD0" w:rsidRPr="00B33EE6" w:rsidRDefault="003C2F73">
      <w:pPr>
        <w:rPr>
          <w:sz w:val="22"/>
          <w:szCs w:val="22"/>
          <w:lang w:val="en-GB"/>
        </w:rPr>
      </w:pPr>
      <w:r>
        <w:rPr>
          <w:noProof/>
          <w:snapToGrid/>
          <w:sz w:val="22"/>
          <w:szCs w:val="22"/>
          <w:lang w:val="en-GB"/>
        </w:rPr>
        <mc:AlternateContent>
          <mc:Choice Requires="wps">
            <w:drawing>
              <wp:anchor distT="0" distB="0" distL="114300" distR="114300" simplePos="0" relativeHeight="251655680" behindDoc="0" locked="0" layoutInCell="0" allowOverlap="1" wp14:anchorId="589D319E" wp14:editId="476E6558">
                <wp:simplePos x="0" y="0"/>
                <wp:positionH relativeFrom="column">
                  <wp:posOffset>0</wp:posOffset>
                </wp:positionH>
                <wp:positionV relativeFrom="paragraph">
                  <wp:posOffset>152400</wp:posOffset>
                </wp:positionV>
                <wp:extent cx="5943600" cy="635"/>
                <wp:effectExtent l="0" t="0" r="0" b="0"/>
                <wp:wrapNone/>
                <wp:docPr id="1097313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4A7B0F"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1A6777" w:rsidRDefault="006F5FD0" w:rsidP="001A6777">
      <w:pPr>
        <w:ind w:left="284" w:hanging="284"/>
        <w:outlineLvl w:val="0"/>
        <w:rPr>
          <w:rStyle w:val="Strong"/>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219ECBA1" w:rsidR="006F5FD0" w:rsidRPr="00B33EE6" w:rsidRDefault="006F5FD0" w:rsidP="001A6777">
      <w:pPr>
        <w:pStyle w:val="Blockquote"/>
        <w:ind w:left="0"/>
        <w:jc w:val="both"/>
        <w:rPr>
          <w:i/>
          <w:sz w:val="22"/>
          <w:szCs w:val="22"/>
          <w:lang w:val="en-GB"/>
        </w:rPr>
      </w:pPr>
      <w:r w:rsidRPr="00A00023">
        <w:rPr>
          <w:rStyle w:val="Emphasis"/>
          <w:i w:val="0"/>
          <w:sz w:val="22"/>
          <w:szCs w:val="22"/>
          <w:lang w:val="en-GB"/>
        </w:rPr>
        <w:t>Global price</w:t>
      </w:r>
    </w:p>
    <w:p w14:paraId="1879C6BF" w14:textId="77777777" w:rsidR="006F5FD0" w:rsidRPr="001A6777" w:rsidRDefault="006F5FD0" w:rsidP="001A6777">
      <w:pPr>
        <w:ind w:left="284" w:hanging="284"/>
        <w:outlineLvl w:val="0"/>
        <w:rPr>
          <w:rStyle w:val="Strong"/>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27195486" w14:textId="0CD4717D" w:rsidR="00013EEA" w:rsidRPr="00013EEA" w:rsidRDefault="00013EEA" w:rsidP="00013EEA">
      <w:pPr>
        <w:autoSpaceDE w:val="0"/>
        <w:autoSpaceDN w:val="0"/>
        <w:adjustRightInd w:val="0"/>
        <w:ind w:right="450"/>
        <w:jc w:val="both"/>
        <w:rPr>
          <w:b/>
          <w:bCs/>
          <w:sz w:val="22"/>
          <w:szCs w:val="22"/>
        </w:rPr>
      </w:pPr>
      <w:r>
        <w:rPr>
          <w:b/>
        </w:rPr>
        <w:t xml:space="preserve">Procurement for </w:t>
      </w:r>
      <w:r w:rsidRPr="00560710">
        <w:rPr>
          <w:b/>
        </w:rPr>
        <w:t xml:space="preserve">Service of mapping of industrial </w:t>
      </w:r>
      <w:proofErr w:type="gramStart"/>
      <w:r w:rsidRPr="00560710">
        <w:rPr>
          <w:b/>
        </w:rPr>
        <w:t>waste water</w:t>
      </w:r>
      <w:proofErr w:type="gramEnd"/>
      <w:r w:rsidRPr="00560710">
        <w:rPr>
          <w:b/>
        </w:rPr>
        <w:t xml:space="preserve"> </w:t>
      </w:r>
      <w:proofErr w:type="spellStart"/>
      <w:r w:rsidRPr="00560710">
        <w:rPr>
          <w:b/>
        </w:rPr>
        <w:t>polutions</w:t>
      </w:r>
      <w:proofErr w:type="spellEnd"/>
      <w:r>
        <w:rPr>
          <w:b/>
        </w:rPr>
        <w:t xml:space="preserve"> for </w:t>
      </w:r>
      <w:r w:rsidRPr="00013EEA">
        <w:rPr>
          <w:b/>
          <w:sz w:val="22"/>
          <w:szCs w:val="22"/>
        </w:rPr>
        <w:t>project: BEST WASTEWATER,</w:t>
      </w:r>
      <w:r w:rsidRPr="00013EEA">
        <w:rPr>
          <w:b/>
          <w:bCs/>
          <w:sz w:val="22"/>
          <w:szCs w:val="22"/>
        </w:rPr>
        <w:t xml:space="preserve"> Water quality map: </w:t>
      </w:r>
    </w:p>
    <w:p w14:paraId="12CA4C8E" w14:textId="11CC6C01" w:rsidR="006F5FD0" w:rsidRPr="00013EEA" w:rsidRDefault="00013EEA" w:rsidP="00013EEA">
      <w:pPr>
        <w:pStyle w:val="Blockquote"/>
        <w:ind w:left="0"/>
        <w:jc w:val="both"/>
        <w:rPr>
          <w:i/>
          <w:sz w:val="22"/>
          <w:szCs w:val="22"/>
          <w:lang w:val="en-GB"/>
        </w:rPr>
      </w:pPr>
      <w:r w:rsidRPr="00013EEA">
        <w:rPr>
          <w:sz w:val="22"/>
          <w:szCs w:val="22"/>
        </w:rPr>
        <w:t xml:space="preserve">This Water quality map will cover the industrial water pollutions and water quality in the 75 km area covered by project </w:t>
      </w:r>
      <w:proofErr w:type="gramStart"/>
      <w:r w:rsidRPr="00013EEA">
        <w:rPr>
          <w:sz w:val="22"/>
          <w:szCs w:val="22"/>
        </w:rPr>
        <w:t>area</w:t>
      </w:r>
      <w:proofErr w:type="gramEnd"/>
      <w:r w:rsidRPr="00013EEA">
        <w:rPr>
          <w:sz w:val="22"/>
          <w:szCs w:val="22"/>
        </w:rPr>
        <w:t xml:space="preserve"> and it will </w:t>
      </w:r>
      <w:proofErr w:type="gramStart"/>
      <w:r w:rsidRPr="00013EEA">
        <w:rPr>
          <w:sz w:val="22"/>
          <w:szCs w:val="22"/>
        </w:rPr>
        <w:t>produces</w:t>
      </w:r>
      <w:proofErr w:type="gramEnd"/>
      <w:r w:rsidRPr="00013EEA">
        <w:rPr>
          <w:sz w:val="22"/>
          <w:szCs w:val="22"/>
        </w:rPr>
        <w:t xml:space="preserve"> a </w:t>
      </w:r>
      <w:proofErr w:type="spellStart"/>
      <w:r w:rsidRPr="00013EEA">
        <w:rPr>
          <w:sz w:val="22"/>
          <w:szCs w:val="22"/>
        </w:rPr>
        <w:t>colour</w:t>
      </w:r>
      <w:proofErr w:type="spellEnd"/>
      <w:r w:rsidRPr="00013EEA">
        <w:rPr>
          <w:sz w:val="22"/>
          <w:szCs w:val="22"/>
        </w:rPr>
        <w:t xml:space="preserve">-coded map of </w:t>
      </w:r>
      <w:proofErr w:type="gramStart"/>
      <w:r w:rsidRPr="00013EEA">
        <w:rPr>
          <w:sz w:val="22"/>
          <w:szCs w:val="22"/>
        </w:rPr>
        <w:t>Tisa river</w:t>
      </w:r>
      <w:proofErr w:type="gramEnd"/>
      <w:r w:rsidRPr="00013EEA">
        <w:rPr>
          <w:sz w:val="22"/>
          <w:szCs w:val="22"/>
        </w:rPr>
        <w:t xml:space="preserve"> industrial polluters. This Water quality map is going to be prepared based on mapping industrial polluters and chemical analysis of </w:t>
      </w:r>
      <w:proofErr w:type="gramStart"/>
      <w:r w:rsidRPr="00013EEA">
        <w:rPr>
          <w:sz w:val="22"/>
          <w:szCs w:val="22"/>
        </w:rPr>
        <w:t>waste water</w:t>
      </w:r>
      <w:proofErr w:type="gramEnd"/>
      <w:r w:rsidRPr="00013EEA">
        <w:rPr>
          <w:sz w:val="22"/>
          <w:szCs w:val="22"/>
        </w:rPr>
        <w:t xml:space="preserve"> quality. For this </w:t>
      </w:r>
      <w:proofErr w:type="gramStart"/>
      <w:r w:rsidRPr="00013EEA">
        <w:rPr>
          <w:sz w:val="22"/>
          <w:szCs w:val="22"/>
        </w:rPr>
        <w:t>particular analysis</w:t>
      </w:r>
      <w:proofErr w:type="gramEnd"/>
      <w:r w:rsidRPr="00013EEA">
        <w:rPr>
          <w:sz w:val="22"/>
          <w:szCs w:val="22"/>
        </w:rPr>
        <w:t xml:space="preserve"> </w:t>
      </w:r>
      <w:proofErr w:type="gramStart"/>
      <w:r w:rsidRPr="00013EEA">
        <w:rPr>
          <w:sz w:val="22"/>
          <w:szCs w:val="22"/>
        </w:rPr>
        <w:t>will be used new purchased mobile laboratory equipment</w:t>
      </w:r>
      <w:proofErr w:type="gramEnd"/>
      <w:r w:rsidRPr="00013EEA">
        <w:rPr>
          <w:sz w:val="22"/>
          <w:szCs w:val="22"/>
        </w:rPr>
        <w:t xml:space="preserve">. This is unique type of water quality map because the laboratory equipment is going to be the newest way of water quality </w:t>
      </w:r>
      <w:proofErr w:type="gramStart"/>
      <w:r w:rsidRPr="00013EEA">
        <w:rPr>
          <w:sz w:val="22"/>
          <w:szCs w:val="22"/>
        </w:rPr>
        <w:t>analysis, and</w:t>
      </w:r>
      <w:proofErr w:type="gramEnd"/>
      <w:r w:rsidRPr="00013EEA">
        <w:rPr>
          <w:sz w:val="22"/>
          <w:szCs w:val="22"/>
        </w:rPr>
        <w:t xml:space="preserve"> also is going to be the first step for future monitoring of water quality from industrial polluters and other polluters.</w:t>
      </w:r>
    </w:p>
    <w:p w14:paraId="75E79BC7" w14:textId="77777777" w:rsidR="006F5FD0" w:rsidRPr="00B33EE6" w:rsidRDefault="006F5FD0" w:rsidP="001A6777">
      <w:pPr>
        <w:ind w:left="284" w:hanging="284"/>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6639E9E8" w14:textId="01DDEFA5" w:rsidR="00DA0ABA" w:rsidRPr="00B33EE6" w:rsidRDefault="00212BC7" w:rsidP="00A00023">
      <w:pPr>
        <w:jc w:val="both"/>
        <w:outlineLvl w:val="0"/>
        <w:rPr>
          <w:rStyle w:val="Emphasis"/>
          <w:i w:val="0"/>
          <w:sz w:val="22"/>
          <w:szCs w:val="22"/>
          <w:lang w:val="en-GB"/>
        </w:rPr>
      </w:pPr>
      <w:r w:rsidRPr="001A6777">
        <w:rPr>
          <w:rStyle w:val="Strong"/>
          <w:b w:val="0"/>
          <w:sz w:val="22"/>
          <w:szCs w:val="22"/>
          <w:lang w:val="en-GB"/>
        </w:rPr>
        <w:t xml:space="preserve">This contract is divided into </w:t>
      </w:r>
      <w:r w:rsidRPr="00A00023">
        <w:rPr>
          <w:rStyle w:val="Strong"/>
          <w:b w:val="0"/>
          <w:sz w:val="22"/>
          <w:szCs w:val="22"/>
          <w:lang w:val="en-GB"/>
        </w:rPr>
        <w:t>lots:</w:t>
      </w:r>
      <w:r w:rsidRPr="00A00023">
        <w:rPr>
          <w:rStyle w:val="Strong"/>
          <w:sz w:val="22"/>
          <w:szCs w:val="22"/>
          <w:lang w:val="en-GB"/>
        </w:rPr>
        <w:t xml:space="preserve"> </w:t>
      </w:r>
      <w:r w:rsidRPr="00A00023">
        <w:rPr>
          <w:rStyle w:val="Strong"/>
          <w:b w:val="0"/>
          <w:sz w:val="22"/>
          <w:szCs w:val="22"/>
          <w:lang w:val="en-GB"/>
        </w:rPr>
        <w:t>no</w:t>
      </w:r>
    </w:p>
    <w:p w14:paraId="56CF52C7" w14:textId="77777777" w:rsidR="006F5FD0" w:rsidRPr="00B33EE6" w:rsidRDefault="006F5FD0" w:rsidP="001A6777">
      <w:pPr>
        <w:ind w:left="284" w:hanging="284"/>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bookmarkStart w:id="0" w:name="_Hlk216866113"/>
      <w:r w:rsidRPr="00B33EE6">
        <w:rPr>
          <w:rStyle w:val="Strong"/>
          <w:sz w:val="22"/>
          <w:szCs w:val="22"/>
          <w:lang w:val="en-GB"/>
        </w:rPr>
        <w:t>Maximum budget</w:t>
      </w:r>
      <w:bookmarkEnd w:id="0"/>
    </w:p>
    <w:p w14:paraId="39BB965D" w14:textId="5B7539E5" w:rsidR="00971962" w:rsidRDefault="00726C83" w:rsidP="001A6777">
      <w:pPr>
        <w:pStyle w:val="Blockquote"/>
        <w:ind w:left="0"/>
        <w:jc w:val="both"/>
        <w:rPr>
          <w:sz w:val="22"/>
          <w:szCs w:val="22"/>
          <w:lang w:val="en-GB"/>
        </w:rPr>
      </w:pPr>
      <w:r w:rsidRPr="00A00023">
        <w:rPr>
          <w:sz w:val="22"/>
          <w:szCs w:val="22"/>
        </w:rPr>
        <w:t xml:space="preserve">Value </w:t>
      </w:r>
      <w:r w:rsidR="00A00023" w:rsidRPr="00A00023">
        <w:rPr>
          <w:sz w:val="22"/>
          <w:szCs w:val="22"/>
        </w:rPr>
        <w:t>in</w:t>
      </w:r>
      <w:r w:rsidRPr="00A00023">
        <w:rPr>
          <w:sz w:val="22"/>
          <w:szCs w:val="22"/>
        </w:rPr>
        <w:t>cluding VAT:</w:t>
      </w:r>
      <w:r w:rsidR="00A00023" w:rsidRPr="00A00023">
        <w:rPr>
          <w:sz w:val="22"/>
          <w:szCs w:val="22"/>
        </w:rPr>
        <w:t xml:space="preserve"> </w:t>
      </w:r>
      <w:r w:rsidR="00A00023" w:rsidRPr="00A00023">
        <w:rPr>
          <w:sz w:val="22"/>
          <w:szCs w:val="22"/>
          <w:lang w:val="en-GB"/>
        </w:rPr>
        <w:t>46.000,00</w:t>
      </w:r>
      <w:r w:rsidRPr="00A00023">
        <w:rPr>
          <w:sz w:val="22"/>
          <w:szCs w:val="22"/>
          <w:lang w:val="en-GB"/>
        </w:rPr>
        <w:t xml:space="preserve"> </w:t>
      </w:r>
      <w:r w:rsidR="00A00023" w:rsidRPr="00A00023">
        <w:rPr>
          <w:sz w:val="22"/>
          <w:szCs w:val="22"/>
          <w:lang w:val="en-GB"/>
        </w:rPr>
        <w:t>EUR</w:t>
      </w:r>
    </w:p>
    <w:p w14:paraId="1483823A" w14:textId="77777777" w:rsidR="00623162" w:rsidRDefault="00623162" w:rsidP="001A6777">
      <w:pPr>
        <w:pStyle w:val="Blockquote"/>
        <w:ind w:left="0"/>
        <w:jc w:val="both"/>
        <w:rPr>
          <w:sz w:val="22"/>
          <w:szCs w:val="22"/>
          <w:lang w:val="en-GB"/>
        </w:rPr>
      </w:pPr>
    </w:p>
    <w:p w14:paraId="283B6821" w14:textId="3963835E" w:rsidR="006F5FD0" w:rsidRPr="00B33EE6" w:rsidRDefault="003C2F73" w:rsidP="001A6777">
      <w:pPr>
        <w:keepNext/>
        <w:keepLines/>
        <w:widowControl/>
        <w:jc w:val="center"/>
        <w:rPr>
          <w:sz w:val="28"/>
          <w:szCs w:val="28"/>
          <w:lang w:val="en-GB"/>
        </w:rPr>
      </w:pPr>
      <w:r>
        <w:rPr>
          <w:noProof/>
          <w:snapToGrid/>
          <w:sz w:val="22"/>
          <w:szCs w:val="22"/>
          <w:lang w:val="en-GB"/>
        </w:rPr>
        <w:lastRenderedPageBreak/>
        <mc:AlternateContent>
          <mc:Choice Requires="wps">
            <w:drawing>
              <wp:anchor distT="0" distB="0" distL="114300" distR="114300" simplePos="0" relativeHeight="251656704" behindDoc="0" locked="0" layoutInCell="0" allowOverlap="1" wp14:anchorId="21854D6C" wp14:editId="1DC2131A">
                <wp:simplePos x="0" y="0"/>
                <wp:positionH relativeFrom="column">
                  <wp:posOffset>-3810</wp:posOffset>
                </wp:positionH>
                <wp:positionV relativeFrom="paragraph">
                  <wp:posOffset>-116840</wp:posOffset>
                </wp:positionV>
                <wp:extent cx="5943600" cy="635"/>
                <wp:effectExtent l="0" t="0" r="0" b="0"/>
                <wp:wrapNone/>
                <wp:docPr id="210822160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FE1AA5"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9.2pt" to="467.7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" o:allowincell="f" strokecolor="#d4d4d4" strokeweight="1.75pt">
                <v:shadow on="t" offset="0,-1pt"/>
              </v:line>
            </w:pict>
          </mc:Fallback>
        </mc:AlternateContent>
      </w:r>
      <w:r w:rsidR="006F5FD0" w:rsidRPr="00B33EE6">
        <w:rPr>
          <w:rStyle w:val="Strong"/>
          <w:sz w:val="28"/>
          <w:szCs w:val="28"/>
          <w:lang w:val="en-GB"/>
        </w:rPr>
        <w:t>CONDITIONS OF PARTICIPATION</w:t>
      </w:r>
      <w:r w:rsidR="00A00023">
        <w:rPr>
          <w:rStyle w:val="Strong"/>
          <w:sz w:val="28"/>
          <w:szCs w:val="28"/>
          <w:lang w:val="en-GB"/>
        </w:rPr>
        <w:t xml:space="preserve"> </w:t>
      </w:r>
    </w:p>
    <w:p w14:paraId="2CB5FCF7" w14:textId="0CE8E220" w:rsidR="00B9793F" w:rsidRDefault="00B9793F" w:rsidP="001A6777">
      <w:pPr>
        <w:pStyle w:val="FootnoteText"/>
        <w:keepNext/>
        <w:keepLines/>
        <w:widowControl/>
        <w:ind w:left="426" w:hanging="426"/>
        <w:rPr>
          <w:rStyle w:val="Strong"/>
          <w:sz w:val="22"/>
          <w:szCs w:val="22"/>
          <w:lang w:val="en-GB"/>
        </w:rPr>
      </w:pPr>
      <w:r>
        <w:rPr>
          <w:rStyle w:val="Strong"/>
          <w:sz w:val="22"/>
          <w:szCs w:val="22"/>
          <w:lang w:val="en-GB"/>
        </w:rPr>
        <w:t>10.</w:t>
      </w:r>
      <w:r w:rsidR="001A650B">
        <w:rPr>
          <w:rStyle w:val="Strong"/>
          <w:sz w:val="22"/>
          <w:szCs w:val="22"/>
          <w:lang w:val="en-GB"/>
        </w:rPr>
        <w:tab/>
      </w:r>
      <w:r w:rsidRPr="00D97139">
        <w:rPr>
          <w:rStyle w:val="Strong"/>
          <w:sz w:val="22"/>
          <w:szCs w:val="22"/>
          <w:lang w:val="en-GB"/>
        </w:rPr>
        <w:t>Legal basis, eligibility and rules of origin</w:t>
      </w:r>
    </w:p>
    <w:p w14:paraId="381F6A2D" w14:textId="77C63A76" w:rsidR="00326B16" w:rsidRPr="00D97139" w:rsidRDefault="004C3FDE" w:rsidP="001A6777">
      <w:pPr>
        <w:pStyle w:val="FootnoteText"/>
        <w:keepNext/>
        <w:keepLines/>
        <w:widowControl/>
        <w:ind w:firstLine="426"/>
        <w:jc w:val="center"/>
        <w:rPr>
          <w:rStyle w:val="Strong"/>
          <w:sz w:val="22"/>
          <w:szCs w:val="22"/>
          <w:lang w:val="en-GB"/>
        </w:rPr>
      </w:pPr>
      <w:r>
        <w:rPr>
          <w:rStyle w:val="Strong"/>
          <w:sz w:val="22"/>
          <w:szCs w:val="22"/>
          <w:lang w:val="en-GB"/>
        </w:rPr>
        <w:t>*****</w:t>
      </w:r>
    </w:p>
    <w:p w14:paraId="04E947DD" w14:textId="3C437B81" w:rsidR="00B9793F" w:rsidRPr="00A00023" w:rsidRDefault="00B9793F" w:rsidP="001A6777">
      <w:pPr>
        <w:pStyle w:val="paragraph"/>
        <w:spacing w:before="0" w:beforeAutospacing="0" w:after="0" w:afterAutospacing="0"/>
        <w:jc w:val="both"/>
        <w:textAlignment w:val="baseline"/>
        <w:rPr>
          <w:rFonts w:ascii="Segoe UI" w:hAnsi="Segoe UI" w:cs="Segoe UI"/>
          <w:sz w:val="22"/>
          <w:szCs w:val="22"/>
          <w:lang w:val="en-GB"/>
        </w:rPr>
      </w:pPr>
      <w:r w:rsidRPr="00A00023">
        <w:rPr>
          <w:iCs/>
          <w:sz w:val="22"/>
          <w:szCs w:val="22"/>
          <w:lang w:val="en-IE"/>
        </w:rPr>
        <w:t>The legal basis of this procedure is Regulation (EU) No </w:t>
      </w:r>
      <w:r w:rsidR="00E1108E" w:rsidRPr="00A00023">
        <w:rPr>
          <w:iCs/>
          <w:sz w:val="22"/>
          <w:szCs w:val="22"/>
          <w:lang w:val="en-IE"/>
        </w:rPr>
        <w:t>2021/</w:t>
      </w:r>
      <w:r w:rsidR="00445514" w:rsidRPr="00A00023">
        <w:rPr>
          <w:iCs/>
          <w:sz w:val="22"/>
          <w:szCs w:val="22"/>
          <w:lang w:val="en-IE"/>
        </w:rPr>
        <w:t>1529</w:t>
      </w:r>
      <w:r w:rsidRPr="00A00023">
        <w:rPr>
          <w:iCs/>
          <w:sz w:val="22"/>
          <w:szCs w:val="22"/>
          <w:lang w:val="en-IE"/>
        </w:rPr>
        <w:t> establishing the Instrument for Pre-accession Assistance (IPA III</w:t>
      </w:r>
      <w:r w:rsidR="00E1108E" w:rsidRPr="00A00023">
        <w:rPr>
          <w:iCs/>
          <w:sz w:val="22"/>
          <w:szCs w:val="22"/>
          <w:lang w:val="en-IE"/>
        </w:rPr>
        <w:t xml:space="preserve">). </w:t>
      </w:r>
      <w:r w:rsidRPr="00A00023">
        <w:rPr>
          <w:iCs/>
          <w:sz w:val="22"/>
          <w:szCs w:val="22"/>
          <w:lang w:val="en-IE"/>
        </w:rPr>
        <w:t>S</w:t>
      </w:r>
      <w:r w:rsidRPr="00A00023">
        <w:rPr>
          <w:rStyle w:val="normaltextrun"/>
          <w:sz w:val="22"/>
          <w:szCs w:val="22"/>
          <w:lang w:val="en-GB"/>
        </w:rPr>
        <w:t xml:space="preserve">ee Annex </w:t>
      </w:r>
      <w:r w:rsidR="00AA04CC" w:rsidRPr="00A00023">
        <w:rPr>
          <w:rStyle w:val="normaltextrun"/>
          <w:sz w:val="22"/>
          <w:szCs w:val="22"/>
          <w:lang w:val="en-GB"/>
        </w:rPr>
        <w:t>a2a1</w:t>
      </w:r>
      <w:r w:rsidRPr="00A00023">
        <w:rPr>
          <w:rStyle w:val="normaltextrun"/>
          <w:sz w:val="22"/>
          <w:szCs w:val="22"/>
          <w:lang w:val="en-GB"/>
        </w:rPr>
        <w:t xml:space="preserve"> of the practical guide.</w:t>
      </w:r>
    </w:p>
    <w:p w14:paraId="19F756EE" w14:textId="22FBA523" w:rsidR="00E1108E" w:rsidRPr="00A00023" w:rsidRDefault="00B9793F" w:rsidP="001A6777">
      <w:pPr>
        <w:pStyle w:val="paragraph"/>
        <w:spacing w:before="0" w:beforeAutospacing="0" w:after="200" w:afterAutospacing="0"/>
        <w:jc w:val="both"/>
        <w:textAlignment w:val="baseline"/>
        <w:rPr>
          <w:iCs/>
          <w:sz w:val="22"/>
          <w:szCs w:val="22"/>
          <w:lang w:val="en-IE"/>
        </w:rPr>
      </w:pPr>
      <w:r w:rsidRPr="00A00023">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w:t>
      </w:r>
      <w:r w:rsidR="00445514" w:rsidRPr="00A00023">
        <w:rPr>
          <w:iCs/>
          <w:sz w:val="22"/>
          <w:szCs w:val="22"/>
          <w:lang w:val="en-IE"/>
        </w:rPr>
        <w:t>1</w:t>
      </w:r>
      <w:r w:rsidRPr="00A00023">
        <w:rPr>
          <w:iCs/>
          <w:sz w:val="22"/>
          <w:szCs w:val="22"/>
          <w:lang w:val="en-IE"/>
        </w:rPr>
        <w:t xml:space="preserve"> of Regulation (EU) No </w:t>
      </w:r>
      <w:r w:rsidR="00E1108E" w:rsidRPr="00A00023">
        <w:rPr>
          <w:iCs/>
          <w:sz w:val="22"/>
          <w:szCs w:val="22"/>
          <w:lang w:val="en-IE"/>
        </w:rPr>
        <w:t>2021/</w:t>
      </w:r>
      <w:r w:rsidR="00445514" w:rsidRPr="00A00023">
        <w:rPr>
          <w:iCs/>
          <w:sz w:val="22"/>
          <w:szCs w:val="22"/>
          <w:lang w:val="en-IE"/>
        </w:rPr>
        <w:t>1529</w:t>
      </w:r>
      <w:r w:rsidRPr="00A00023">
        <w:rPr>
          <w:iCs/>
          <w:sz w:val="22"/>
          <w:szCs w:val="22"/>
          <w:lang w:val="en-IE"/>
        </w:rPr>
        <w:t>  establishing the Instrument for Pre-accession Assistance (IPA III).</w:t>
      </w:r>
    </w:p>
    <w:p w14:paraId="0476A994" w14:textId="48803C25" w:rsidR="00B9793F" w:rsidRPr="001A6777" w:rsidRDefault="00E1108E" w:rsidP="001A6777">
      <w:pPr>
        <w:spacing w:before="0" w:after="240" w:line="240" w:lineRule="atLeast"/>
        <w:jc w:val="both"/>
        <w:rPr>
          <w:sz w:val="22"/>
          <w:szCs w:val="22"/>
          <w:lang w:val="en-IE"/>
        </w:rPr>
      </w:pPr>
      <w:r w:rsidRPr="00A00023">
        <w:rPr>
          <w:iCs/>
          <w:sz w:val="22"/>
          <w:szCs w:val="22"/>
          <w:lang w:val="en-IE"/>
        </w:rPr>
        <w:t>Participation is also open to international and regional organisations.</w:t>
      </w:r>
    </w:p>
    <w:p w14:paraId="484BDFBA" w14:textId="36EE78E4" w:rsidR="00B9793F" w:rsidRPr="00A00023" w:rsidRDefault="004C3FDE" w:rsidP="00A00023">
      <w:pPr>
        <w:pStyle w:val="paragraph"/>
        <w:spacing w:before="0" w:beforeAutospacing="0" w:after="0" w:afterAutospacing="0"/>
        <w:jc w:val="center"/>
        <w:textAlignment w:val="baseline"/>
        <w:rPr>
          <w:rStyle w:val="eop"/>
          <w:b/>
          <w:sz w:val="22"/>
          <w:szCs w:val="22"/>
          <w:lang w:val="en-US"/>
        </w:rPr>
      </w:pPr>
      <w:bookmarkStart w:id="1" w:name="_Hlk169106468"/>
      <w:r w:rsidRPr="001A6777">
        <w:rPr>
          <w:rStyle w:val="normaltextrun"/>
          <w:b/>
          <w:sz w:val="22"/>
          <w:szCs w:val="22"/>
          <w:lang w:val="en-US"/>
        </w:rPr>
        <w:t>*****</w:t>
      </w:r>
      <w:bookmarkEnd w:id="1"/>
      <w:r w:rsidR="00B9793F" w:rsidRPr="00CC4086">
        <w:rPr>
          <w:rStyle w:val="eop"/>
          <w:rFonts w:ascii="Calibri" w:hAnsi="Calibri" w:cs="Calibri"/>
          <w:b/>
          <w:sz w:val="22"/>
          <w:szCs w:val="22"/>
          <w:lang w:val="en-US"/>
        </w:rPr>
        <w:t> </w:t>
      </w:r>
    </w:p>
    <w:p w14:paraId="63522FC5" w14:textId="3D3291BB" w:rsidR="006F5FD0" w:rsidRPr="00B33EE6" w:rsidRDefault="006F5FD0" w:rsidP="001A6777">
      <w:pPr>
        <w:spacing w:before="240"/>
        <w:ind w:left="426" w:hanging="426"/>
        <w:outlineLvl w:val="0"/>
        <w:rPr>
          <w:sz w:val="22"/>
          <w:szCs w:val="22"/>
          <w:lang w:val="en-GB"/>
        </w:rPr>
      </w:pPr>
      <w:bookmarkStart w:id="2" w:name="_DV_M201"/>
      <w:bookmarkStart w:id="3" w:name="_DV_M224"/>
      <w:bookmarkStart w:id="4" w:name="_DV_M225"/>
      <w:bookmarkStart w:id="5" w:name="_DV_M226"/>
      <w:bookmarkStart w:id="6" w:name="_DV_M227"/>
      <w:bookmarkStart w:id="7" w:name="_DV_M229"/>
      <w:bookmarkStart w:id="8" w:name="_DV_M231"/>
      <w:bookmarkStart w:id="9" w:name="_DV_M232"/>
      <w:bookmarkStart w:id="10" w:name="_DV_M233"/>
      <w:bookmarkStart w:id="11" w:name="_DV_M234"/>
      <w:bookmarkStart w:id="12" w:name="_DV_M235"/>
      <w:bookmarkStart w:id="13" w:name="_DV_M236"/>
      <w:bookmarkStart w:id="14" w:name="_DV_M237"/>
      <w:bookmarkStart w:id="15" w:name="_DV_M238"/>
      <w:bookmarkEnd w:id="2"/>
      <w:bookmarkEnd w:id="3"/>
      <w:bookmarkEnd w:id="4"/>
      <w:bookmarkEnd w:id="5"/>
      <w:bookmarkEnd w:id="6"/>
      <w:bookmarkEnd w:id="7"/>
      <w:bookmarkEnd w:id="8"/>
      <w:bookmarkEnd w:id="9"/>
      <w:bookmarkEnd w:id="10"/>
      <w:bookmarkEnd w:id="11"/>
      <w:bookmarkEnd w:id="12"/>
      <w:bookmarkEnd w:id="13"/>
      <w:bookmarkEnd w:id="14"/>
      <w:bookmarkEnd w:id="15"/>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w:t>
      </w:r>
      <w:r w:rsidR="0093429C">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519FD253" w14:textId="580E597C" w:rsidR="00E1782A" w:rsidRPr="00A00023" w:rsidRDefault="006F5FD0" w:rsidP="001A6777">
      <w:pPr>
        <w:pStyle w:val="Blockquote"/>
        <w:ind w:left="0" w:right="26"/>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w:t>
      </w:r>
      <w:proofErr w:type="gramStart"/>
      <w:r w:rsidRPr="00B33EE6">
        <w:rPr>
          <w:sz w:val="22"/>
          <w:szCs w:val="22"/>
          <w:lang w:val="en-GB"/>
        </w:rPr>
        <w:t>In the event that</w:t>
      </w:r>
      <w:proofErr w:type="gramEnd"/>
      <w:r w:rsidRPr="00B33EE6">
        <w:rPr>
          <w:sz w:val="22"/>
          <w:szCs w:val="22"/>
          <w:lang w:val="en-GB"/>
        </w:rPr>
        <w:t xml:space="preserve">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r w:rsidR="00E1782A" w:rsidRPr="00B33EE6">
        <w:rPr>
          <w:sz w:val="22"/>
          <w:szCs w:val="22"/>
          <w:lang w:val="en-GB"/>
        </w:rPr>
        <w:t xml:space="preserve"> </w:t>
      </w:r>
    </w:p>
    <w:p w14:paraId="7B54A5E6" w14:textId="17ADFE55" w:rsidR="006F5FD0" w:rsidRPr="00B33EE6" w:rsidRDefault="006F5FD0" w:rsidP="001A6777">
      <w:pPr>
        <w:ind w:left="426" w:hanging="426"/>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w:t>
      </w:r>
      <w:r w:rsidR="0008338B">
        <w:rPr>
          <w:rStyle w:val="Strong"/>
          <w:sz w:val="22"/>
          <w:szCs w:val="22"/>
          <w:lang w:val="en-GB"/>
        </w:rPr>
        <w:tab/>
      </w:r>
      <w:r w:rsidRPr="00B33EE6">
        <w:rPr>
          <w:rStyle w:val="Strong"/>
          <w:sz w:val="22"/>
          <w:szCs w:val="22"/>
          <w:lang w:val="en-GB"/>
        </w:rPr>
        <w:t>Grounds for exclusion</w:t>
      </w:r>
    </w:p>
    <w:p w14:paraId="796D557F" w14:textId="275F7BB8" w:rsidR="006F5FD0" w:rsidRDefault="006F5FD0" w:rsidP="001A6777">
      <w:pPr>
        <w:pStyle w:val="Blockquote"/>
        <w:ind w:left="0" w:right="26"/>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C10DC7">
        <w:rPr>
          <w:sz w:val="22"/>
          <w:szCs w:val="22"/>
          <w:lang w:val="en-GB"/>
        </w:rPr>
        <w:t>4.2</w:t>
      </w:r>
      <w:r w:rsidR="00513F0F">
        <w:rPr>
          <w:sz w:val="22"/>
          <w:szCs w:val="22"/>
          <w:lang w:val="en-GB"/>
        </w:rPr>
        <w:t>.</w:t>
      </w:r>
      <w:r w:rsidR="00414AE3">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bookmarkStart w:id="16" w:name="_Hlk169265704"/>
      <w:r w:rsidR="00414AE3" w:rsidRPr="00414AE3">
        <w:rPr>
          <w:sz w:val="22"/>
          <w:szCs w:val="22"/>
          <w:lang w:val="en-GB"/>
        </w:rPr>
        <w:t xml:space="preserve">Where the </w:t>
      </w:r>
      <w:r w:rsidR="00414AE3">
        <w:rPr>
          <w:sz w:val="22"/>
          <w:szCs w:val="22"/>
          <w:lang w:val="en-GB"/>
        </w:rPr>
        <w:t xml:space="preserve">tenderer </w:t>
      </w:r>
      <w:r w:rsidR="00414AE3" w:rsidRPr="00414AE3">
        <w:rPr>
          <w:sz w:val="22"/>
          <w:szCs w:val="22"/>
          <w:lang w:val="en-GB"/>
        </w:rPr>
        <w:t>intends to rely on capacity providing entities or subcontractor(s), he/she must provide the same declaration signed by this/these entity(</w:t>
      </w:r>
      <w:proofErr w:type="spellStart"/>
      <w:r w:rsidR="00414AE3" w:rsidRPr="00414AE3">
        <w:rPr>
          <w:sz w:val="22"/>
          <w:szCs w:val="22"/>
          <w:lang w:val="en-GB"/>
        </w:rPr>
        <w:t>ies</w:t>
      </w:r>
      <w:proofErr w:type="spellEnd"/>
      <w:r w:rsidR="00414AE3" w:rsidRPr="00414AE3">
        <w:rPr>
          <w:sz w:val="22"/>
          <w:szCs w:val="22"/>
          <w:lang w:val="en-GB"/>
        </w:rPr>
        <w:t>).</w:t>
      </w:r>
    </w:p>
    <w:bookmarkEnd w:id="16"/>
    <w:p w14:paraId="7275ED88" w14:textId="1E0BA681" w:rsidR="0039147E" w:rsidRPr="00B33EE6" w:rsidRDefault="00C03AF5" w:rsidP="001A6777">
      <w:pPr>
        <w:pStyle w:val="Blockquote"/>
        <w:spacing w:after="240"/>
        <w:ind w:left="0" w:right="357"/>
        <w:jc w:val="both"/>
        <w:rPr>
          <w:sz w:val="22"/>
          <w:szCs w:val="22"/>
          <w:lang w:val="en-GB"/>
        </w:rPr>
      </w:pPr>
      <w:r>
        <w:rPr>
          <w:sz w:val="22"/>
          <w:szCs w:val="22"/>
          <w:lang w:val="en-GB"/>
        </w:rPr>
        <w:t>Tenderer</w:t>
      </w:r>
      <w:r w:rsidR="0039147E">
        <w:rPr>
          <w:sz w:val="22"/>
          <w:szCs w:val="22"/>
          <w:lang w:val="en-GB"/>
        </w:rPr>
        <w:t xml:space="preserve"> included in the lists of EU restrictive measures</w:t>
      </w:r>
      <w:r w:rsidR="00B55A6D">
        <w:rPr>
          <w:rStyle w:val="FootnoteReference"/>
          <w:sz w:val="22"/>
          <w:szCs w:val="22"/>
          <w:lang w:val="en-GB"/>
        </w:rPr>
        <w:footnoteReference w:id="1"/>
      </w:r>
      <w:r w:rsidR="0039147E">
        <w:rPr>
          <w:sz w:val="22"/>
          <w:szCs w:val="22"/>
          <w:lang w:val="en-GB"/>
        </w:rPr>
        <w:t xml:space="preserve"> (see Section 2.</w:t>
      </w:r>
      <w:r w:rsidR="00513F0F">
        <w:rPr>
          <w:sz w:val="22"/>
          <w:szCs w:val="22"/>
          <w:lang w:val="en-GB"/>
        </w:rPr>
        <w:t>4</w:t>
      </w:r>
      <w:r w:rsidR="0039147E">
        <w:rPr>
          <w:sz w:val="22"/>
          <w:szCs w:val="22"/>
          <w:lang w:val="en-GB"/>
        </w:rPr>
        <w:t xml:space="preserve">. of the PRAG) </w:t>
      </w:r>
      <w:proofErr w:type="gramStart"/>
      <w:r w:rsidR="0039147E">
        <w:rPr>
          <w:sz w:val="22"/>
          <w:szCs w:val="22"/>
          <w:lang w:val="en-GB"/>
        </w:rPr>
        <w:t>at the moment</w:t>
      </w:r>
      <w:proofErr w:type="gramEnd"/>
      <w:r w:rsidR="0039147E">
        <w:rPr>
          <w:sz w:val="22"/>
          <w:szCs w:val="22"/>
          <w:lang w:val="en-GB"/>
        </w:rPr>
        <w:t xml:space="preserve"> of the award decision cannot be awarded the contract. </w:t>
      </w:r>
    </w:p>
    <w:p w14:paraId="3126791C" w14:textId="77777777" w:rsidR="006F5FD0" w:rsidRPr="00B33EE6" w:rsidRDefault="006F5FD0" w:rsidP="001A6777">
      <w:pPr>
        <w:ind w:left="426" w:hanging="426"/>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584DDCA7" w:rsidR="00E9047D" w:rsidRPr="00B33EE6" w:rsidRDefault="003C2F73" w:rsidP="001A6777">
      <w:pPr>
        <w:spacing w:after="360"/>
        <w:outlineLvl w:val="0"/>
        <w:rPr>
          <w:rStyle w:val="Emphasis"/>
          <w:i w:val="0"/>
          <w:sz w:val="22"/>
          <w:szCs w:val="22"/>
          <w:lang w:val="en-GB"/>
        </w:rPr>
      </w:pPr>
      <w:r>
        <w:rPr>
          <w:noProof/>
          <w:snapToGrid/>
          <w:sz w:val="22"/>
          <w:szCs w:val="22"/>
          <w:lang w:val="en-GB"/>
        </w:rPr>
        <mc:AlternateContent>
          <mc:Choice Requires="wps">
            <w:drawing>
              <wp:anchor distT="0" distB="0" distL="114300" distR="114300" simplePos="0" relativeHeight="251657728" behindDoc="0" locked="0" layoutInCell="0" allowOverlap="1" wp14:anchorId="11F7E59B" wp14:editId="5F68F362">
                <wp:simplePos x="0" y="0"/>
                <wp:positionH relativeFrom="column">
                  <wp:posOffset>19050</wp:posOffset>
                </wp:positionH>
                <wp:positionV relativeFrom="paragraph">
                  <wp:posOffset>364490</wp:posOffset>
                </wp:positionV>
                <wp:extent cx="5943600" cy="635"/>
                <wp:effectExtent l="0" t="0" r="0" b="0"/>
                <wp:wrapNone/>
                <wp:docPr id="77262308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94BEE8"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8.7pt" to="469.5pt,2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" o:allowincell="f" strokecolor="#d4d4d4" strokeweight="1.75pt">
                <v:shadow on="t" offset="0,-1pt"/>
              </v:line>
            </w:pict>
          </mc:Fallback>
        </mc:AlternateContent>
      </w:r>
      <w:r w:rsidR="006D6080"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3302E925" w:rsidR="006F5FD0" w:rsidRPr="00B33EE6" w:rsidRDefault="006F5FD0">
      <w:pPr>
        <w:keepNext/>
        <w:jc w:val="center"/>
        <w:rPr>
          <w:sz w:val="28"/>
          <w:szCs w:val="28"/>
          <w:lang w:val="en-GB"/>
        </w:rPr>
      </w:pPr>
      <w:r w:rsidRPr="00B33EE6">
        <w:rPr>
          <w:rStyle w:val="Strong"/>
          <w:sz w:val="28"/>
          <w:szCs w:val="28"/>
          <w:lang w:val="en-GB"/>
        </w:rPr>
        <w:t>PROVISIONAL TIMETABLE</w:t>
      </w:r>
    </w:p>
    <w:p w14:paraId="669BA67B" w14:textId="3FFF7450" w:rsidR="006F5FD0" w:rsidRPr="00B33EE6" w:rsidRDefault="0008338B" w:rsidP="001A6777">
      <w:pPr>
        <w:ind w:left="426" w:hanging="426"/>
        <w:outlineLvl w:val="0"/>
        <w:rPr>
          <w:sz w:val="22"/>
          <w:szCs w:val="22"/>
          <w:lang w:val="en-GB"/>
        </w:rPr>
      </w:pPr>
      <w:r>
        <w:rPr>
          <w:rStyle w:val="Strong"/>
          <w:sz w:val="22"/>
          <w:szCs w:val="22"/>
          <w:lang w:val="en-GB"/>
        </w:rPr>
        <w:t>1</w:t>
      </w:r>
      <w:r w:rsidR="005639EC" w:rsidRPr="00B33EE6">
        <w:rPr>
          <w:rStyle w:val="Strong"/>
          <w:sz w:val="22"/>
          <w:szCs w:val="22"/>
          <w:lang w:val="en-GB"/>
        </w:rPr>
        <w:t>4</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Provisional commencement date of the contract</w:t>
      </w:r>
    </w:p>
    <w:p w14:paraId="7C4EA8E0" w14:textId="2EEC44BD" w:rsidR="006F5FD0" w:rsidRPr="00B33EE6" w:rsidRDefault="00A00023" w:rsidP="001A6777">
      <w:pPr>
        <w:pStyle w:val="Blockquote"/>
        <w:ind w:left="426" w:hanging="426"/>
        <w:jc w:val="both"/>
        <w:rPr>
          <w:i/>
          <w:sz w:val="22"/>
          <w:szCs w:val="22"/>
          <w:lang w:val="en-GB"/>
        </w:rPr>
      </w:pPr>
      <w:r>
        <w:rPr>
          <w:rStyle w:val="Emphasis"/>
          <w:i w:val="0"/>
          <w:sz w:val="22"/>
          <w:szCs w:val="22"/>
          <w:lang w:val="en-GB"/>
        </w:rPr>
        <w:t>20/03/2025.</w:t>
      </w:r>
    </w:p>
    <w:p w14:paraId="70B1A4AA" w14:textId="461DE58C" w:rsidR="006F5FD0" w:rsidRPr="00B33EE6" w:rsidRDefault="0008338B" w:rsidP="001A6777">
      <w:pPr>
        <w:ind w:left="426" w:hanging="426"/>
        <w:outlineLvl w:val="0"/>
        <w:rPr>
          <w:sz w:val="22"/>
          <w:szCs w:val="22"/>
          <w:lang w:val="en-GB"/>
        </w:rPr>
      </w:pPr>
      <w:r>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005639EC" w:rsidRPr="00B33EE6">
        <w:rPr>
          <w:rStyle w:val="Strong"/>
          <w:sz w:val="22"/>
          <w:szCs w:val="22"/>
          <w:lang w:val="en-GB"/>
        </w:rPr>
        <w:t>Implementation</w:t>
      </w:r>
      <w:r w:rsidR="006F5FD0" w:rsidRPr="00B33EE6">
        <w:rPr>
          <w:rStyle w:val="Strong"/>
          <w:sz w:val="22"/>
          <w:szCs w:val="22"/>
          <w:lang w:val="en-GB"/>
        </w:rPr>
        <w:t xml:space="preserve"> period of </w:t>
      </w:r>
      <w:r w:rsidR="005639EC" w:rsidRPr="00B33EE6">
        <w:rPr>
          <w:rStyle w:val="Strong"/>
          <w:sz w:val="22"/>
          <w:szCs w:val="22"/>
          <w:lang w:val="en-GB"/>
        </w:rPr>
        <w:t>the</w:t>
      </w:r>
      <w:r w:rsidR="00476D80" w:rsidRPr="00B33EE6">
        <w:rPr>
          <w:rStyle w:val="Strong"/>
          <w:sz w:val="22"/>
          <w:szCs w:val="22"/>
          <w:lang w:val="en-GB"/>
        </w:rPr>
        <w:t xml:space="preserve"> tasks </w:t>
      </w:r>
    </w:p>
    <w:p w14:paraId="6A07015F" w14:textId="1167A4E3" w:rsidR="006F5FD0" w:rsidRPr="00B33EE6" w:rsidRDefault="00A00023" w:rsidP="001A6777">
      <w:pPr>
        <w:pStyle w:val="Blockquote"/>
        <w:ind w:left="426" w:hanging="426"/>
        <w:jc w:val="both"/>
        <w:rPr>
          <w:i/>
          <w:sz w:val="22"/>
          <w:szCs w:val="22"/>
          <w:lang w:val="en-GB"/>
        </w:rPr>
      </w:pPr>
      <w:r w:rsidRPr="00013EEA">
        <w:rPr>
          <w:rStyle w:val="Emphasis"/>
          <w:i w:val="0"/>
          <w:sz w:val="22"/>
          <w:szCs w:val="22"/>
          <w:lang w:val="en-GB"/>
        </w:rPr>
        <w:t>12 months</w:t>
      </w:r>
    </w:p>
    <w:p w14:paraId="29CC7DD8" w14:textId="38DE04CC" w:rsidR="006F5FD0" w:rsidRPr="00B33EE6" w:rsidRDefault="003C2F73">
      <w:pPr>
        <w:rPr>
          <w:sz w:val="22"/>
          <w:szCs w:val="22"/>
          <w:lang w:val="en-GB"/>
        </w:rPr>
      </w:pPr>
      <w:r>
        <w:rPr>
          <w:noProof/>
          <w:snapToGrid/>
          <w:sz w:val="22"/>
          <w:szCs w:val="22"/>
          <w:lang w:val="en-GB"/>
        </w:rPr>
        <mc:AlternateContent>
          <mc:Choice Requires="wps">
            <w:drawing>
              <wp:anchor distT="0" distB="0" distL="114300" distR="114300" simplePos="0" relativeHeight="251658752" behindDoc="0" locked="0" layoutInCell="0" allowOverlap="1" wp14:anchorId="6E3015B7" wp14:editId="6D678ECB">
                <wp:simplePos x="0" y="0"/>
                <wp:positionH relativeFrom="column">
                  <wp:posOffset>0</wp:posOffset>
                </wp:positionH>
                <wp:positionV relativeFrom="paragraph">
                  <wp:posOffset>238125</wp:posOffset>
                </wp:positionV>
                <wp:extent cx="5943600" cy="635"/>
                <wp:effectExtent l="0" t="0" r="0" b="0"/>
                <wp:wrapNone/>
                <wp:docPr id="57928548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8AE7E1"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75pt" to="468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" o:allowincell="f" strokecolor="#d4d4d4" strokeweight="1.75pt">
                <v:shadow on="t" offset="0,-1pt"/>
              </v:line>
            </w:pict>
          </mc:Fallback>
        </mc:AlternateContent>
      </w:r>
    </w:p>
    <w:p w14:paraId="25048343" w14:textId="77777777" w:rsidR="006F5FD0" w:rsidRPr="00B33EE6" w:rsidRDefault="006F5FD0" w:rsidP="001A6777">
      <w:pPr>
        <w:spacing w:after="240"/>
        <w:jc w:val="center"/>
        <w:rPr>
          <w:sz w:val="28"/>
          <w:szCs w:val="28"/>
          <w:lang w:val="en-GB"/>
        </w:rPr>
      </w:pPr>
      <w:r w:rsidRPr="00B33EE6">
        <w:rPr>
          <w:rStyle w:val="Strong"/>
          <w:sz w:val="28"/>
          <w:szCs w:val="28"/>
          <w:lang w:val="en-GB"/>
        </w:rPr>
        <w:lastRenderedPageBreak/>
        <w:t>SELECTION AND AWARD CRITERIA</w:t>
      </w:r>
    </w:p>
    <w:p w14:paraId="392C793B" w14:textId="37D53532" w:rsidR="006F5FD0" w:rsidRDefault="005639EC" w:rsidP="001A6777">
      <w:pPr>
        <w:spacing w:after="0"/>
        <w:ind w:left="425" w:hanging="425"/>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1A6777">
      <w:pPr>
        <w:widowControl/>
        <w:spacing w:before="120" w:after="0"/>
        <w:jc w:val="both"/>
        <w:rPr>
          <w:sz w:val="22"/>
          <w:szCs w:val="22"/>
          <w:lang w:val="en-GB"/>
        </w:rPr>
      </w:pPr>
      <w:r w:rsidRPr="00AE0634">
        <w:rPr>
          <w:sz w:val="22"/>
          <w:szCs w:val="22"/>
          <w:lang w:val="en-GB"/>
        </w:rPr>
        <w:t>Capacity-providing entities</w:t>
      </w:r>
    </w:p>
    <w:p w14:paraId="5BF50C91" w14:textId="15375054" w:rsidR="00215403" w:rsidRPr="00AE0634" w:rsidRDefault="00215403" w:rsidP="001A6777">
      <w:pPr>
        <w:widowControl/>
        <w:spacing w:before="240" w:after="0"/>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w:t>
      </w:r>
      <w:r w:rsidR="00353144">
        <w:rPr>
          <w:sz w:val="22"/>
          <w:szCs w:val="22"/>
          <w:lang w:val="en-GB"/>
        </w:rPr>
        <w:t xml:space="preserve">which it has </w:t>
      </w:r>
      <w:r w:rsidRPr="00AE0634">
        <w:rPr>
          <w:sz w:val="22"/>
          <w:szCs w:val="22"/>
          <w:lang w:val="en-GB"/>
        </w:rPr>
        <w:t>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w:t>
      </w:r>
      <w:r w:rsidR="00195F75">
        <w:rPr>
          <w:sz w:val="22"/>
          <w:szCs w:val="22"/>
          <w:lang w:val="en-GB"/>
        </w:rPr>
        <w:t xml:space="preserve">fulfil </w:t>
      </w:r>
      <w:r w:rsidRPr="00AE0634">
        <w:rPr>
          <w:sz w:val="22"/>
          <w:szCs w:val="22"/>
          <w:lang w:val="en-GB"/>
        </w:rPr>
        <w:t xml:space="preserve">the selection criteria for which the economic operator relies on them. </w:t>
      </w:r>
      <w:r w:rsidRPr="00743351">
        <w:rPr>
          <w:b/>
          <w:sz w:val="22"/>
          <w:szCs w:val="22"/>
          <w:lang w:val="en-GB"/>
        </w:rPr>
        <w:t xml:space="preserve">Furthermore, the data for this third entity for the relevant selection criterion should </w:t>
      </w:r>
      <w:r w:rsidR="00195F75">
        <w:rPr>
          <w:b/>
          <w:sz w:val="22"/>
          <w:szCs w:val="22"/>
          <w:lang w:val="en-GB"/>
        </w:rPr>
        <w:t xml:space="preserve">not </w:t>
      </w:r>
      <w:r w:rsidRPr="00743351">
        <w:rPr>
          <w:b/>
          <w:sz w:val="22"/>
          <w:szCs w:val="22"/>
          <w:lang w:val="en-GB"/>
        </w:rPr>
        <w:t xml:space="preserve">be included </w:t>
      </w:r>
      <w:r w:rsidR="00195F75">
        <w:rPr>
          <w:b/>
          <w:sz w:val="22"/>
          <w:szCs w:val="22"/>
          <w:lang w:val="en-GB"/>
        </w:rPr>
        <w:t xml:space="preserve">in the tender form but </w:t>
      </w:r>
      <w:r w:rsidRPr="00743351">
        <w:rPr>
          <w:b/>
          <w:sz w:val="22"/>
          <w:szCs w:val="22"/>
          <w:lang w:val="en-GB"/>
        </w:rPr>
        <w:t>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1A6777">
      <w:pPr>
        <w:widowControl/>
        <w:spacing w:before="240" w:after="0"/>
        <w:ind w:right="26"/>
        <w:jc w:val="both"/>
        <w:rPr>
          <w:sz w:val="22"/>
          <w:szCs w:val="22"/>
          <w:lang w:val="en-GB"/>
        </w:rPr>
      </w:pPr>
      <w:proofErr w:type="gramStart"/>
      <w:r w:rsidRPr="00AE0634">
        <w:rPr>
          <w:sz w:val="22"/>
          <w:szCs w:val="22"/>
          <w:lang w:val="en-GB"/>
        </w:rPr>
        <w:t>With regard to</w:t>
      </w:r>
      <w:proofErr w:type="gramEnd"/>
      <w:r w:rsidRPr="00AE0634">
        <w:rPr>
          <w:sz w:val="22"/>
          <w:szCs w:val="22"/>
          <w:lang w:val="en-GB"/>
        </w:rPr>
        <w:t xml:space="preserve">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1A6777">
      <w:pPr>
        <w:widowControl/>
        <w:spacing w:before="240" w:after="0"/>
        <w:ind w:right="26"/>
        <w:jc w:val="both"/>
        <w:rPr>
          <w:sz w:val="22"/>
          <w:szCs w:val="22"/>
          <w:highlight w:val="yellow"/>
          <w:lang w:val="en-GB"/>
        </w:rPr>
      </w:pPr>
      <w:proofErr w:type="gramStart"/>
      <w:r w:rsidRPr="00AE0634">
        <w:rPr>
          <w:sz w:val="22"/>
          <w:szCs w:val="22"/>
          <w:lang w:val="en-GB"/>
        </w:rPr>
        <w:t>With regard to</w:t>
      </w:r>
      <w:proofErr w:type="gramEnd"/>
      <w:r w:rsidRPr="00AE0634">
        <w:rPr>
          <w:sz w:val="22"/>
          <w:szCs w:val="22"/>
          <w:lang w:val="en-GB"/>
        </w:rPr>
        <w:t xml:space="preserve"> economic and financial criteria, the entities upon whose capacity the economic operator relies, become jointly and severally liable for t</w:t>
      </w:r>
      <w:r>
        <w:rPr>
          <w:sz w:val="22"/>
          <w:szCs w:val="22"/>
          <w:lang w:val="en-GB"/>
        </w:rPr>
        <w:t>he performance of the contract.</w:t>
      </w:r>
    </w:p>
    <w:p w14:paraId="0D716E4E" w14:textId="351B547B" w:rsidR="006F5FD0" w:rsidRDefault="006F5FD0" w:rsidP="001A6777">
      <w:pPr>
        <w:pStyle w:val="Blockquote"/>
        <w:ind w:left="0" w:right="26"/>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1A6777">
        <w:rPr>
          <w:b/>
          <w:bCs/>
          <w:sz w:val="22"/>
          <w:szCs w:val="22"/>
          <w:lang w:val="en-GB"/>
        </w:rPr>
        <w:t xml:space="preserve">In the case of </w:t>
      </w:r>
      <w:r w:rsidR="005639EC" w:rsidRPr="001A6777">
        <w:rPr>
          <w:b/>
          <w:bCs/>
          <w:sz w:val="22"/>
          <w:szCs w:val="22"/>
          <w:lang w:val="en-GB"/>
        </w:rPr>
        <w:t>tenders</w:t>
      </w:r>
      <w:r w:rsidRPr="001A6777">
        <w:rPr>
          <w:b/>
          <w:bCs/>
          <w:sz w:val="22"/>
          <w:szCs w:val="22"/>
          <w:lang w:val="en-GB"/>
        </w:rPr>
        <w:t xml:space="preserve"> submitted by a consortium, these selection criteria will be applied to the consortium </w:t>
      </w:r>
      <w:proofErr w:type="gramStart"/>
      <w:r w:rsidRPr="001A6777">
        <w:rPr>
          <w:b/>
          <w:bCs/>
          <w:sz w:val="22"/>
          <w:szCs w:val="22"/>
          <w:lang w:val="en-GB"/>
        </w:rPr>
        <w:t>as a whole</w:t>
      </w:r>
      <w:r w:rsidR="006751D2" w:rsidRPr="001A6777">
        <w:rPr>
          <w:b/>
          <w:bCs/>
          <w:sz w:val="22"/>
          <w:szCs w:val="22"/>
          <w:lang w:val="en-GB"/>
        </w:rPr>
        <w:t xml:space="preserve"> if</w:t>
      </w:r>
      <w:proofErr w:type="gramEnd"/>
      <w:r w:rsidR="006751D2" w:rsidRPr="001A6777">
        <w:rPr>
          <w:b/>
          <w:bCs/>
          <w:sz w:val="22"/>
          <w:szCs w:val="22"/>
          <w:lang w:val="en-GB"/>
        </w:rPr>
        <w:t xml:space="preserve"> not specified otherwise.</w:t>
      </w:r>
      <w:r w:rsidR="006751D2" w:rsidRPr="00B33EE6">
        <w:rPr>
          <w:sz w:val="22"/>
          <w:szCs w:val="22"/>
          <w:lang w:val="en-GB"/>
        </w:rPr>
        <w:t xml:space="preserve"> The selection criteria will not be applied to natural persons and single-member companies when they are sub-contractors.</w:t>
      </w:r>
    </w:p>
    <w:p w14:paraId="7396831F" w14:textId="77777777" w:rsidR="0068424D" w:rsidRPr="0068424D" w:rsidRDefault="004916FF" w:rsidP="0068424D">
      <w:pPr>
        <w:pStyle w:val="Blockquote"/>
        <w:ind w:left="0" w:right="26"/>
        <w:jc w:val="both"/>
        <w:rPr>
          <w:sz w:val="22"/>
          <w:szCs w:val="22"/>
          <w:lang w:val="en-GB"/>
        </w:rPr>
      </w:pPr>
      <w:bookmarkStart w:id="17" w:name="_Hlk169266975"/>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r w:rsidR="0068424D">
        <w:rPr>
          <w:sz w:val="22"/>
          <w:szCs w:val="22"/>
          <w:lang w:val="en-GB"/>
        </w:rPr>
        <w:t xml:space="preserve"> </w:t>
      </w:r>
      <w:r w:rsidR="0068424D" w:rsidRPr="0068424D">
        <w:rPr>
          <w:sz w:val="22"/>
          <w:szCs w:val="22"/>
          <w:lang w:val="en-GB"/>
        </w:rPr>
        <w:t>This is also applicable concerning the previous experience of experts required under a fee-based service contract.</w:t>
      </w:r>
    </w:p>
    <w:bookmarkEnd w:id="17"/>
    <w:p w14:paraId="53A16187" w14:textId="52EABE0E" w:rsidR="006F5FD0" w:rsidRPr="00B33EE6" w:rsidRDefault="00571687" w:rsidP="001A6777">
      <w:pPr>
        <w:pStyle w:val="Blockquote"/>
        <w:ind w:left="284" w:right="26" w:hanging="284"/>
        <w:jc w:val="both"/>
        <w:rPr>
          <w:sz w:val="22"/>
          <w:szCs w:val="22"/>
          <w:lang w:val="en-GB"/>
        </w:rPr>
      </w:pPr>
      <w:r w:rsidRPr="001A6777">
        <w:rPr>
          <w:b/>
          <w:sz w:val="22"/>
          <w:szCs w:val="22"/>
          <w:lang w:val="en-GB"/>
        </w:rPr>
        <w:t>1)</w:t>
      </w:r>
      <w:r w:rsidRPr="001A6777">
        <w:rPr>
          <w:b/>
          <w:sz w:val="22"/>
          <w:szCs w:val="22"/>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w:t>
      </w:r>
      <w:proofErr w:type="gramStart"/>
      <w:r w:rsidR="006751D2" w:rsidRPr="00B33EE6">
        <w:rPr>
          <w:sz w:val="22"/>
          <w:szCs w:val="22"/>
          <w:lang w:val="en-GB"/>
        </w:rPr>
        <w:t>taken into account</w:t>
      </w:r>
      <w:proofErr w:type="gramEnd"/>
      <w:r w:rsidR="006751D2" w:rsidRPr="00B33EE6">
        <w:rPr>
          <w:sz w:val="22"/>
          <w:szCs w:val="22"/>
          <w:lang w:val="en-GB"/>
        </w:rPr>
        <w:t xml:space="preserve"> will be </w:t>
      </w:r>
      <w:r w:rsidR="006751D2" w:rsidRPr="001A6777">
        <w:rPr>
          <w:b/>
          <w:bCs/>
          <w:sz w:val="22"/>
          <w:szCs w:val="22"/>
          <w:lang w:val="en-GB"/>
        </w:rPr>
        <w:t>the last three years for which accounts have been closed.</w:t>
      </w:r>
    </w:p>
    <w:p w14:paraId="2C617AC3" w14:textId="77777777" w:rsidR="00D05BF4" w:rsidRPr="002D18CF" w:rsidRDefault="00D05BF4" w:rsidP="001A6777">
      <w:pPr>
        <w:spacing w:before="0" w:after="120" w:line="240" w:lineRule="atLeast"/>
        <w:ind w:left="284"/>
        <w:rPr>
          <w:b/>
          <w:sz w:val="22"/>
          <w:szCs w:val="22"/>
          <w:lang w:val="en-GB"/>
        </w:rPr>
      </w:pPr>
      <w:r w:rsidRPr="00A35829">
        <w:rPr>
          <w:b/>
          <w:sz w:val="22"/>
          <w:szCs w:val="22"/>
          <w:lang w:val="en-GB"/>
        </w:rPr>
        <w:t xml:space="preserve">Criterion 1: </w:t>
      </w:r>
      <w:r>
        <w:rPr>
          <w:b/>
          <w:sz w:val="22"/>
          <w:szCs w:val="22"/>
          <w:lang w:val="en-GB"/>
        </w:rPr>
        <w:t>average annual turnover</w:t>
      </w:r>
    </w:p>
    <w:p w14:paraId="5FB38A97" w14:textId="6C12EEEF" w:rsidR="00D05BF4" w:rsidRPr="002D18CF" w:rsidRDefault="007117DC" w:rsidP="001A6777">
      <w:pPr>
        <w:spacing w:before="0" w:after="0" w:line="240" w:lineRule="atLeast"/>
        <w:ind w:left="284"/>
        <w:jc w:val="both"/>
        <w:rPr>
          <w:sz w:val="22"/>
          <w:szCs w:val="22"/>
          <w:lang w:val="en-GB"/>
        </w:rPr>
      </w:pPr>
      <w:bookmarkStart w:id="18" w:name="_Hlk160467202"/>
      <w:r>
        <w:rPr>
          <w:sz w:val="22"/>
          <w:szCs w:val="22"/>
          <w:lang w:val="en-GB"/>
        </w:rPr>
        <w:t>T</w:t>
      </w:r>
      <w:r w:rsidRPr="00DC30B4">
        <w:rPr>
          <w:sz w:val="22"/>
          <w:szCs w:val="22"/>
          <w:lang w:val="en-GB"/>
        </w:rPr>
        <w:t>he tenderer</w:t>
      </w:r>
      <w:r>
        <w:rPr>
          <w:sz w:val="22"/>
          <w:szCs w:val="22"/>
          <w:lang w:val="en-GB"/>
        </w:rPr>
        <w:t>’s</w:t>
      </w:r>
      <w:r w:rsidRPr="00DC30B4">
        <w:rPr>
          <w:sz w:val="22"/>
          <w:szCs w:val="22"/>
          <w:lang w:val="en-GB"/>
        </w:rPr>
        <w:t xml:space="preserve"> </w:t>
      </w:r>
      <w:r w:rsidRPr="002D18CF">
        <w:rPr>
          <w:sz w:val="22"/>
          <w:szCs w:val="22"/>
          <w:lang w:val="en-GB"/>
        </w:rPr>
        <w:t>average annual turnover of</w:t>
      </w:r>
      <w:r>
        <w:rPr>
          <w:sz w:val="22"/>
          <w:szCs w:val="22"/>
          <w:lang w:val="en-GB"/>
        </w:rPr>
        <w:t xml:space="preserve"> the</w:t>
      </w:r>
      <w:r w:rsidRPr="002D18CF">
        <w:rPr>
          <w:sz w:val="22"/>
          <w:szCs w:val="22"/>
          <w:lang w:val="en-GB"/>
        </w:rPr>
        <w:t xml:space="preserve"> </w:t>
      </w:r>
      <w:r w:rsidRPr="002D18CF">
        <w:rPr>
          <w:b/>
          <w:bCs/>
          <w:sz w:val="22"/>
          <w:szCs w:val="22"/>
          <w:lang w:val="en-GB"/>
        </w:rPr>
        <w:t>last 3 financial years</w:t>
      </w:r>
      <w:r>
        <w:rPr>
          <w:sz w:val="22"/>
          <w:szCs w:val="22"/>
          <w:lang w:val="en-GB"/>
        </w:rPr>
        <w:t xml:space="preserve"> for which </w:t>
      </w:r>
      <w:r w:rsidRPr="002D18CF">
        <w:rPr>
          <w:b/>
          <w:bCs/>
          <w:sz w:val="22"/>
          <w:szCs w:val="22"/>
          <w:lang w:val="en-GB"/>
        </w:rPr>
        <w:t xml:space="preserve">the accounts </w:t>
      </w:r>
      <w:r>
        <w:rPr>
          <w:b/>
          <w:bCs/>
          <w:sz w:val="22"/>
          <w:szCs w:val="22"/>
          <w:lang w:val="en-GB"/>
        </w:rPr>
        <w:t xml:space="preserve">have been closed </w:t>
      </w:r>
      <w:r>
        <w:rPr>
          <w:sz w:val="22"/>
          <w:szCs w:val="22"/>
          <w:lang w:val="en-GB"/>
        </w:rPr>
        <w:t>m</w:t>
      </w:r>
      <w:r w:rsidRPr="002D18CF">
        <w:rPr>
          <w:sz w:val="22"/>
          <w:szCs w:val="22"/>
          <w:lang w:val="en-GB"/>
        </w:rPr>
        <w:t xml:space="preserve">ust be </w:t>
      </w:r>
      <w:r w:rsidRPr="002D18CF">
        <w:rPr>
          <w:bCs/>
          <w:sz w:val="22"/>
          <w:szCs w:val="22"/>
          <w:lang w:val="en-GB"/>
        </w:rPr>
        <w:t xml:space="preserve">not less than </w:t>
      </w:r>
      <w:r>
        <w:rPr>
          <w:bCs/>
        </w:rPr>
        <w:t xml:space="preserve">70% of </w:t>
      </w:r>
      <w:r w:rsidRPr="00206ED1">
        <w:rPr>
          <w:sz w:val="22"/>
          <w:szCs w:val="22"/>
          <w:lang w:val="en-GB"/>
        </w:rPr>
        <w:t xml:space="preserve">estimated annual contract </w:t>
      </w:r>
      <w:proofErr w:type="gramStart"/>
      <w:r w:rsidRPr="00206ED1">
        <w:rPr>
          <w:sz w:val="22"/>
          <w:szCs w:val="22"/>
          <w:lang w:val="en-GB"/>
        </w:rPr>
        <w:t>value</w:t>
      </w:r>
      <w:r w:rsidRPr="002D18CF">
        <w:rPr>
          <w:sz w:val="22"/>
          <w:szCs w:val="22"/>
          <w:lang w:val="en-GB"/>
        </w:rPr>
        <w:t>.</w:t>
      </w:r>
      <w:r w:rsidR="00D05BF4" w:rsidRPr="002D18CF">
        <w:rPr>
          <w:sz w:val="22"/>
          <w:szCs w:val="22"/>
          <w:lang w:val="en-GB"/>
        </w:rPr>
        <w:t>.</w:t>
      </w:r>
      <w:proofErr w:type="gramEnd"/>
    </w:p>
    <w:bookmarkEnd w:id="18"/>
    <w:p w14:paraId="195C8042" w14:textId="335B7D6A" w:rsidR="00BE08EC" w:rsidRPr="00B33EE6" w:rsidRDefault="00571687" w:rsidP="001A6777">
      <w:pPr>
        <w:pStyle w:val="Blockquote"/>
        <w:ind w:left="284" w:right="26" w:hanging="284"/>
        <w:jc w:val="both"/>
        <w:rPr>
          <w:sz w:val="22"/>
          <w:szCs w:val="22"/>
          <w:lang w:val="en-GB"/>
        </w:rPr>
      </w:pPr>
      <w:r w:rsidRPr="001A6777">
        <w:rPr>
          <w:b/>
          <w:sz w:val="22"/>
          <w:szCs w:val="22"/>
          <w:lang w:val="en-GB"/>
        </w:rPr>
        <w:t>2)</w:t>
      </w:r>
      <w:r w:rsidRPr="001A6777">
        <w:rPr>
          <w:sz w:val="22"/>
          <w:szCs w:val="22"/>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1A6777">
        <w:rPr>
          <w:bCs/>
          <w:sz w:val="22"/>
          <w:szCs w:val="22"/>
          <w:lang w:val="en-GB"/>
        </w:rPr>
        <w:t xml:space="preserve"> </w:t>
      </w:r>
      <w:r w:rsidR="00A85E8A" w:rsidRPr="001A6777">
        <w:rPr>
          <w:bCs/>
          <w:sz w:val="22"/>
          <w:szCs w:val="22"/>
          <w:lang w:val="en-GB"/>
        </w:rPr>
        <w:t>(</w:t>
      </w:r>
      <w:r w:rsidR="006F5FD0" w:rsidRPr="00B14E3C">
        <w:rPr>
          <w:bCs/>
          <w:sz w:val="22"/>
          <w:szCs w:val="22"/>
          <w:lang w:val="en-GB"/>
        </w:rPr>
        <w:t xml:space="preserve">based </w:t>
      </w:r>
      <w:r w:rsidR="006F5FD0" w:rsidRPr="00B33EE6">
        <w:rPr>
          <w:sz w:val="22"/>
          <w:szCs w:val="22"/>
          <w:lang w:val="en-GB"/>
        </w:rPr>
        <w:t xml:space="preserve">on items </w:t>
      </w:r>
      <w:r w:rsidR="00087A72" w:rsidRPr="00B33EE6">
        <w:rPr>
          <w:sz w:val="22"/>
          <w:szCs w:val="22"/>
          <w:lang w:val="en-GB"/>
        </w:rPr>
        <w:t xml:space="preserve">4 </w:t>
      </w:r>
      <w:r w:rsidR="00661E54">
        <w:rPr>
          <w:sz w:val="22"/>
          <w:szCs w:val="22"/>
          <w:lang w:val="en-GB"/>
        </w:rPr>
        <w:t xml:space="preserve">and 5 </w:t>
      </w:r>
      <w:r w:rsidR="00087A72" w:rsidRPr="00B33EE6">
        <w:rPr>
          <w:sz w:val="22"/>
          <w:szCs w:val="22"/>
          <w:lang w:val="en-GB"/>
        </w:rPr>
        <w:t xml:space="preserve">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r w:rsidR="00661E54">
        <w:rPr>
          <w:sz w:val="22"/>
          <w:szCs w:val="22"/>
          <w:lang w:val="en-GB"/>
        </w:rPr>
        <w:t xml:space="preserve"> </w:t>
      </w:r>
      <w:r w:rsidR="00BE08EC" w:rsidRPr="00B33EE6">
        <w:rPr>
          <w:sz w:val="22"/>
          <w:szCs w:val="22"/>
          <w:lang w:val="en-GB"/>
        </w:rPr>
        <w:t xml:space="preserve">The reference period which will be </w:t>
      </w:r>
      <w:proofErr w:type="gramStart"/>
      <w:r w:rsidR="00BE08EC" w:rsidRPr="00B33EE6">
        <w:rPr>
          <w:sz w:val="22"/>
          <w:szCs w:val="22"/>
          <w:lang w:val="en-GB"/>
        </w:rPr>
        <w:t>taken into account</w:t>
      </w:r>
      <w:proofErr w:type="gramEnd"/>
      <w:r w:rsidR="00BE08EC" w:rsidRPr="00B33EE6">
        <w:rPr>
          <w:sz w:val="22"/>
          <w:szCs w:val="22"/>
          <w:lang w:val="en-GB"/>
        </w:rPr>
        <w:t xml:space="preserve"> will be </w:t>
      </w:r>
      <w:r w:rsidR="00BE08EC" w:rsidRPr="001A6777">
        <w:rPr>
          <w:b/>
          <w:bCs/>
          <w:sz w:val="22"/>
          <w:szCs w:val="22"/>
          <w:lang w:val="en-GB"/>
        </w:rPr>
        <w:t>the last three</w:t>
      </w:r>
      <w:r w:rsidR="00862885" w:rsidRPr="001A6777">
        <w:rPr>
          <w:b/>
          <w:bCs/>
          <w:sz w:val="22"/>
          <w:szCs w:val="22"/>
          <w:lang w:val="en-GB"/>
        </w:rPr>
        <w:t xml:space="preserve"> years </w:t>
      </w:r>
      <w:r w:rsidR="00771F97" w:rsidRPr="001A6777">
        <w:rPr>
          <w:b/>
          <w:bCs/>
          <w:sz w:val="22"/>
          <w:szCs w:val="22"/>
          <w:lang w:val="en-GB"/>
        </w:rPr>
        <w:t>preceding the</w:t>
      </w:r>
      <w:r w:rsidR="00BE08EC" w:rsidRPr="001A6777">
        <w:rPr>
          <w:b/>
          <w:bCs/>
          <w:sz w:val="22"/>
          <w:szCs w:val="22"/>
          <w:lang w:val="en-GB"/>
        </w:rPr>
        <w:t xml:space="preserve"> submission deadline</w:t>
      </w:r>
      <w:r w:rsidR="00BE08EC" w:rsidRPr="00B33EE6">
        <w:rPr>
          <w:sz w:val="22"/>
          <w:szCs w:val="22"/>
          <w:lang w:val="en-GB"/>
        </w:rPr>
        <w:t>.</w:t>
      </w:r>
    </w:p>
    <w:p w14:paraId="1FBF8D17" w14:textId="451266B6" w:rsidR="00661E54" w:rsidRPr="00013EEA" w:rsidRDefault="00013EEA" w:rsidP="001A6777">
      <w:pPr>
        <w:pStyle w:val="Blockquote"/>
        <w:numPr>
          <w:ilvl w:val="0"/>
          <w:numId w:val="34"/>
        </w:numPr>
        <w:tabs>
          <w:tab w:val="clear" w:pos="360"/>
        </w:tabs>
        <w:spacing w:before="0" w:after="120" w:line="240" w:lineRule="atLeast"/>
        <w:ind w:left="720" w:right="26"/>
        <w:jc w:val="both"/>
        <w:rPr>
          <w:sz w:val="22"/>
          <w:szCs w:val="22"/>
          <w:lang w:val="en-IE"/>
        </w:rPr>
      </w:pPr>
      <w:r w:rsidRPr="00013EEA">
        <w:rPr>
          <w:sz w:val="22"/>
          <w:szCs w:val="22"/>
          <w:lang w:val="en-IE"/>
        </w:rPr>
        <w:t xml:space="preserve">At least 2 staff currently work (full-time or engaged) for the tenderer in fields related to this </w:t>
      </w:r>
      <w:proofErr w:type="gramStart"/>
      <w:r w:rsidRPr="00013EEA">
        <w:rPr>
          <w:sz w:val="22"/>
          <w:szCs w:val="22"/>
          <w:lang w:val="en-IE"/>
        </w:rPr>
        <w:t>contract;</w:t>
      </w:r>
      <w:proofErr w:type="gramEnd"/>
    </w:p>
    <w:p w14:paraId="05E75179" w14:textId="258E1EDC" w:rsidR="00BE08EC" w:rsidRPr="00B33EE6" w:rsidRDefault="00571687" w:rsidP="001A6777">
      <w:pPr>
        <w:pStyle w:val="Blockquote"/>
        <w:spacing w:before="120" w:after="120"/>
        <w:ind w:left="284" w:right="357" w:hanging="284"/>
        <w:jc w:val="both"/>
        <w:rPr>
          <w:sz w:val="22"/>
          <w:szCs w:val="22"/>
          <w:lang w:val="en-GB"/>
        </w:rPr>
      </w:pPr>
      <w:r w:rsidRPr="001A6777">
        <w:rPr>
          <w:b/>
          <w:sz w:val="22"/>
          <w:szCs w:val="22"/>
          <w:lang w:val="en-GB"/>
        </w:rPr>
        <w:t>3)</w:t>
      </w:r>
      <w:r w:rsidRPr="001A6777">
        <w:rPr>
          <w:b/>
          <w:sz w:val="22"/>
          <w:szCs w:val="22"/>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w:t>
      </w:r>
    </w:p>
    <w:p w14:paraId="49577ACA" w14:textId="77777777" w:rsidR="001A4F1E" w:rsidRDefault="001A4F1E" w:rsidP="001A6777">
      <w:pPr>
        <w:pStyle w:val="Blockquote"/>
        <w:spacing w:before="0" w:after="120" w:line="240" w:lineRule="atLeast"/>
        <w:ind w:left="284" w:right="26"/>
        <w:jc w:val="both"/>
        <w:rPr>
          <w:sz w:val="22"/>
          <w:szCs w:val="22"/>
          <w:lang w:val="en-IE"/>
        </w:rPr>
      </w:pPr>
      <w:r w:rsidRPr="00DC1FA3">
        <w:rPr>
          <w:b/>
          <w:bCs/>
          <w:sz w:val="22"/>
          <w:szCs w:val="22"/>
          <w:lang w:val="en-IE"/>
        </w:rPr>
        <w:t>Criterion</w:t>
      </w:r>
      <w:r>
        <w:rPr>
          <w:sz w:val="22"/>
          <w:szCs w:val="22"/>
          <w:lang w:val="en-IE"/>
        </w:rPr>
        <w:t xml:space="preserve">: </w:t>
      </w:r>
      <w:bookmarkStart w:id="19" w:name="_Hlk160467923"/>
    </w:p>
    <w:p w14:paraId="3C0E733F" w14:textId="165CF19C" w:rsidR="001A4F1E" w:rsidRPr="00013EEA" w:rsidRDefault="00013EEA" w:rsidP="001A6777">
      <w:pPr>
        <w:pStyle w:val="Blockquote"/>
        <w:numPr>
          <w:ilvl w:val="0"/>
          <w:numId w:val="34"/>
        </w:numPr>
        <w:tabs>
          <w:tab w:val="clear" w:pos="360"/>
        </w:tabs>
        <w:spacing w:before="0" w:after="120" w:line="240" w:lineRule="atLeast"/>
        <w:ind w:left="720" w:right="26"/>
        <w:jc w:val="both"/>
        <w:rPr>
          <w:sz w:val="22"/>
          <w:szCs w:val="22"/>
          <w:lang w:val="en-GB"/>
        </w:rPr>
      </w:pPr>
      <w:r w:rsidRPr="00013EEA">
        <w:rPr>
          <w:rFonts w:eastAsia="Calibri"/>
          <w:sz w:val="22"/>
          <w:szCs w:val="22"/>
        </w:rPr>
        <w:t>The tenderer has provided services with a budget of at least that of this contract implemented in similar fields implemented at any moment during the last three years.</w:t>
      </w:r>
    </w:p>
    <w:bookmarkEnd w:id="19"/>
    <w:p w14:paraId="3364A443" w14:textId="6346D864" w:rsidR="007121FB" w:rsidRPr="00B33EE6" w:rsidRDefault="00B644B9" w:rsidP="001A6777">
      <w:pPr>
        <w:pStyle w:val="Blockquote"/>
        <w:tabs>
          <w:tab w:val="left" w:pos="284"/>
        </w:tabs>
        <w:ind w:right="26"/>
        <w:jc w:val="both"/>
        <w:rPr>
          <w:sz w:val="22"/>
          <w:szCs w:val="22"/>
          <w:lang w:val="en-GB"/>
        </w:rPr>
      </w:pPr>
      <w:r w:rsidRPr="00B644B9">
        <w:rPr>
          <w:sz w:val="22"/>
          <w:szCs w:val="22"/>
          <w:lang w:val="en-GB"/>
        </w:rPr>
        <w:t xml:space="preserve">This means that the service contract the tenderer refers to could have been </w:t>
      </w:r>
      <w:bookmarkStart w:id="20" w:name="_Hlk169267969"/>
      <w:r w:rsidR="001A4F1E">
        <w:rPr>
          <w:sz w:val="22"/>
          <w:szCs w:val="22"/>
          <w:lang w:val="en-GB"/>
        </w:rPr>
        <w:t>implemented</w:t>
      </w:r>
      <w:bookmarkEnd w:id="20"/>
      <w:r w:rsidR="001A4F1E">
        <w:rPr>
          <w:sz w:val="22"/>
          <w:szCs w:val="22"/>
          <w:lang w:val="en-GB"/>
        </w:rPr>
        <w:t xml:space="preserve"> </w:t>
      </w:r>
      <w:r w:rsidRPr="00B644B9">
        <w:rPr>
          <w:sz w:val="22"/>
          <w:szCs w:val="22"/>
          <w:lang w:val="en-GB"/>
        </w:rPr>
        <w:t xml:space="preserve">at any time during the indicated </w:t>
      </w:r>
      <w:proofErr w:type="gramStart"/>
      <w:r w:rsidRPr="00B644B9">
        <w:rPr>
          <w:sz w:val="22"/>
          <w:szCs w:val="22"/>
          <w:lang w:val="en-GB"/>
        </w:rPr>
        <w:t>period</w:t>
      </w:r>
      <w:proofErr w:type="gramEnd"/>
      <w:r w:rsidRPr="00B644B9">
        <w:rPr>
          <w:sz w:val="22"/>
          <w:szCs w:val="22"/>
          <w:lang w:val="en-GB"/>
        </w:rPr>
        <w:t xml:space="preserve"> but it does not necessarily have to be completed during that period, nor implemented during the entire period. Tenderers are allowed to refer either to service contracts completed within the reference period (although started earlier) or </w:t>
      </w:r>
      <w:r w:rsidR="001A4F1E" w:rsidRPr="005C26A3">
        <w:rPr>
          <w:sz w:val="22"/>
          <w:szCs w:val="22"/>
          <w:lang w:val="en-GB"/>
        </w:rPr>
        <w:t xml:space="preserve">to projects </w:t>
      </w:r>
      <w:bookmarkStart w:id="21" w:name="_Hlk169268021"/>
      <w:r w:rsidR="001A4F1E" w:rsidRPr="005C26A3">
        <w:rPr>
          <w:sz w:val="22"/>
          <w:szCs w:val="22"/>
          <w:lang w:val="en-GB"/>
        </w:rPr>
        <w:t xml:space="preserve">partially implemented </w:t>
      </w:r>
      <w:proofErr w:type="gramStart"/>
      <w:r w:rsidR="001A4F1E" w:rsidRPr="005C26A3">
        <w:rPr>
          <w:sz w:val="22"/>
          <w:szCs w:val="22"/>
          <w:lang w:val="en-GB"/>
        </w:rPr>
        <w:t>during, but</w:t>
      </w:r>
      <w:proofErr w:type="gramEnd"/>
      <w:r w:rsidR="001A4F1E" w:rsidRPr="005C26A3">
        <w:rPr>
          <w:sz w:val="22"/>
          <w:szCs w:val="22"/>
          <w:lang w:val="en-GB"/>
        </w:rPr>
        <w:t xml:space="preserve"> </w:t>
      </w:r>
      <w:bookmarkEnd w:id="21"/>
      <w:r w:rsidR="001A4F1E" w:rsidRPr="005C26A3">
        <w:rPr>
          <w:sz w:val="22"/>
          <w:szCs w:val="22"/>
          <w:lang w:val="en-GB"/>
        </w:rPr>
        <w:t xml:space="preserve">not yet completed within the reference period. </w:t>
      </w:r>
      <w:r w:rsidRPr="00B644B9">
        <w:rPr>
          <w:sz w:val="22"/>
          <w:szCs w:val="22"/>
          <w:lang w:val="en-GB"/>
        </w:rPr>
        <w:t xml:space="preserve">Only the </w:t>
      </w:r>
      <w:r w:rsidR="001A4F1E">
        <w:rPr>
          <w:sz w:val="22"/>
          <w:szCs w:val="22"/>
          <w:lang w:val="en-GB"/>
        </w:rPr>
        <w:t xml:space="preserve">part </w:t>
      </w:r>
      <w:r w:rsidRPr="00B644B9">
        <w:rPr>
          <w:sz w:val="22"/>
          <w:szCs w:val="22"/>
          <w:lang w:val="en-GB"/>
        </w:rPr>
        <w:t xml:space="preserve">completed during the reference </w:t>
      </w:r>
      <w:r w:rsidRPr="00B644B9">
        <w:rPr>
          <w:sz w:val="22"/>
          <w:szCs w:val="22"/>
          <w:lang w:val="en-GB"/>
        </w:rPr>
        <w:lastRenderedPageBreak/>
        <w:t xml:space="preserve">period will be taken into consideration. This </w:t>
      </w:r>
      <w:r w:rsidR="001A4F1E">
        <w:rPr>
          <w:sz w:val="22"/>
          <w:szCs w:val="22"/>
          <w:lang w:val="en-GB"/>
        </w:rPr>
        <w:t xml:space="preserve">part </w:t>
      </w:r>
      <w:r w:rsidRPr="00B644B9">
        <w:rPr>
          <w:sz w:val="22"/>
          <w:szCs w:val="22"/>
          <w:lang w:val="en-GB"/>
        </w:rPr>
        <w:t>will have to be supported by documentary evidence (</w:t>
      </w:r>
      <w:bookmarkStart w:id="22" w:name="_Hlk169268107"/>
      <w:r w:rsidR="001A4F1E" w:rsidRPr="005C26A3">
        <w:rPr>
          <w:sz w:val="22"/>
          <w:szCs w:val="22"/>
          <w:lang w:val="en-GB"/>
        </w:rPr>
        <w:t xml:space="preserve">approval of report or </w:t>
      </w:r>
      <w:r w:rsidR="001A4F1E">
        <w:rPr>
          <w:sz w:val="22"/>
          <w:szCs w:val="22"/>
          <w:lang w:val="en-GB"/>
        </w:rPr>
        <w:t>deliverable</w:t>
      </w:r>
      <w:r w:rsidR="001A4F1E" w:rsidRPr="005C26A3">
        <w:rPr>
          <w:sz w:val="22"/>
          <w:szCs w:val="22"/>
          <w:lang w:val="en-GB"/>
        </w:rPr>
        <w:t xml:space="preserve">, proof of payment, </w:t>
      </w:r>
      <w:bookmarkEnd w:id="22"/>
      <w:r w:rsidRPr="00B644B9">
        <w:rPr>
          <w:sz w:val="22"/>
          <w:szCs w:val="22"/>
          <w:lang w:val="en-GB"/>
        </w:rPr>
        <w:t xml:space="preserve">statement or certificate from the entity which awarded the contract) also detailing its value. If a tenderer has implemented the </w:t>
      </w:r>
      <w:r w:rsidR="001A4F1E">
        <w:rPr>
          <w:sz w:val="22"/>
          <w:szCs w:val="22"/>
          <w:lang w:val="en-GB"/>
        </w:rPr>
        <w:t xml:space="preserve">project </w:t>
      </w:r>
      <w:r w:rsidRPr="00B644B9">
        <w:rPr>
          <w:sz w:val="22"/>
          <w:szCs w:val="22"/>
          <w:lang w:val="en-GB"/>
        </w:rPr>
        <w:t>in a consortium, the percentage that the tenderer has successfully completed must be clear from the documentary evidence</w:t>
      </w:r>
      <w:r w:rsidR="001A4F1E">
        <w:rPr>
          <w:sz w:val="22"/>
          <w:szCs w:val="22"/>
          <w:lang w:val="en-GB"/>
        </w:rPr>
        <w:t xml:space="preserve"> </w:t>
      </w:r>
      <w:r w:rsidR="0068424D">
        <w:rPr>
          <w:sz w:val="22"/>
          <w:szCs w:val="22"/>
          <w:lang w:val="en-GB"/>
        </w:rPr>
        <w:t>(</w:t>
      </w:r>
      <w:r w:rsidR="001A4F1E" w:rsidRPr="005C26A3">
        <w:rPr>
          <w:sz w:val="22"/>
          <w:szCs w:val="22"/>
          <w:lang w:val="en-GB"/>
        </w:rPr>
        <w:t xml:space="preserve">approval of report or </w:t>
      </w:r>
      <w:r w:rsidR="001A4F1E">
        <w:rPr>
          <w:sz w:val="22"/>
          <w:szCs w:val="22"/>
          <w:lang w:val="en-GB"/>
        </w:rPr>
        <w:t>deliverable</w:t>
      </w:r>
      <w:r w:rsidR="001A4F1E" w:rsidRPr="005C26A3">
        <w:rPr>
          <w:sz w:val="22"/>
          <w:szCs w:val="22"/>
          <w:lang w:val="en-GB"/>
        </w:rPr>
        <w:t xml:space="preserve">, proof of payment, statement or certificate from the entity which awarded the contract) also detailing its value. If a candidate has implemented the project in a consortium, the part that the candidate has successfully completed must be clear from the documentary </w:t>
      </w:r>
      <w:bookmarkStart w:id="23" w:name="_Hlk169268155"/>
      <w:r w:rsidR="001A4F1E" w:rsidRPr="005C26A3">
        <w:rPr>
          <w:sz w:val="22"/>
          <w:szCs w:val="22"/>
          <w:lang w:val="en-GB"/>
        </w:rPr>
        <w:t>evidence (such as consortium agreement and bank transfers between consortium members</w:t>
      </w:r>
      <w:r w:rsidR="001A4F1E">
        <w:rPr>
          <w:sz w:val="22"/>
          <w:szCs w:val="22"/>
          <w:lang w:val="en-GB"/>
        </w:rPr>
        <w:t>)</w:t>
      </w:r>
      <w:bookmarkEnd w:id="23"/>
      <w:r w:rsidRPr="00B644B9">
        <w:rPr>
          <w:sz w:val="22"/>
          <w:szCs w:val="22"/>
          <w:lang w:val="en-GB"/>
        </w:rPr>
        <w:t>, together with a description of the nature of the services provided.</w:t>
      </w:r>
    </w:p>
    <w:p w14:paraId="36FE5E2E" w14:textId="2FE86180" w:rsidR="006F5FD0" w:rsidRPr="00B33EE6" w:rsidRDefault="00994EA3" w:rsidP="001A6777">
      <w:pPr>
        <w:ind w:left="426" w:hanging="426"/>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A74EDE">
        <w:rPr>
          <w:rStyle w:val="Strong"/>
          <w:sz w:val="22"/>
          <w:szCs w:val="22"/>
          <w:lang w:val="en-GB"/>
        </w:rPr>
        <w:tab/>
      </w:r>
      <w:r w:rsidR="006F5FD0" w:rsidRPr="00B33EE6">
        <w:rPr>
          <w:rStyle w:val="Strong"/>
          <w:sz w:val="22"/>
          <w:szCs w:val="22"/>
          <w:lang w:val="en-GB"/>
        </w:rPr>
        <w:t>Award criteria</w:t>
      </w:r>
    </w:p>
    <w:p w14:paraId="576FDB42" w14:textId="40FB636D" w:rsidR="006F5FD0" w:rsidRPr="00B33EE6" w:rsidRDefault="00F33539" w:rsidP="001A6777">
      <w:pPr>
        <w:pStyle w:val="Blockquote"/>
        <w:ind w:right="1"/>
        <w:jc w:val="both"/>
        <w:rPr>
          <w:sz w:val="22"/>
          <w:szCs w:val="22"/>
          <w:lang w:val="en-GB"/>
        </w:rPr>
      </w:pPr>
      <w:r w:rsidRPr="009C197A">
        <w:rPr>
          <w:sz w:val="22"/>
          <w:szCs w:val="22"/>
          <w:lang w:val="en-GB"/>
        </w:rPr>
        <w:t>Best</w:t>
      </w:r>
      <w:r w:rsidR="00060001" w:rsidRPr="009C197A">
        <w:rPr>
          <w:sz w:val="22"/>
          <w:szCs w:val="22"/>
          <w:lang w:val="en-GB"/>
        </w:rPr>
        <w:t xml:space="preserve"> </w:t>
      </w:r>
      <w:r w:rsidR="00060001" w:rsidRPr="001A6777">
        <w:rPr>
          <w:sz w:val="22"/>
          <w:szCs w:val="22"/>
          <w:lang w:val="en-GB"/>
        </w:rPr>
        <w:t xml:space="preserve">price-quality </w:t>
      </w:r>
      <w:r w:rsidRPr="001A6777">
        <w:rPr>
          <w:sz w:val="22"/>
          <w:szCs w:val="22"/>
          <w:lang w:val="en-GB"/>
        </w:rPr>
        <w:t>ratio.</w:t>
      </w:r>
    </w:p>
    <w:p w14:paraId="793B56EE" w14:textId="301CCAD8" w:rsidR="006F5FD0" w:rsidRPr="00B33EE6" w:rsidRDefault="006F5FD0" w:rsidP="001A6777">
      <w:pPr>
        <w:keepNext/>
        <w:keepLines/>
        <w:widowControl/>
        <w:rPr>
          <w:sz w:val="22"/>
          <w:szCs w:val="22"/>
          <w:lang w:val="en-GB"/>
        </w:rPr>
      </w:pPr>
    </w:p>
    <w:p w14:paraId="7482CE23" w14:textId="35331FA6" w:rsidR="006F5FD0" w:rsidRPr="00B33EE6" w:rsidRDefault="003C2F73" w:rsidP="001A6777">
      <w:pPr>
        <w:keepNext/>
        <w:keepLines/>
        <w:widowControl/>
        <w:spacing w:after="240"/>
        <w:jc w:val="center"/>
        <w:rPr>
          <w:sz w:val="28"/>
          <w:szCs w:val="28"/>
          <w:lang w:val="en-GB"/>
        </w:rPr>
      </w:pPr>
      <w:r>
        <w:rPr>
          <w:noProof/>
          <w:snapToGrid/>
          <w:sz w:val="22"/>
          <w:szCs w:val="22"/>
          <w:lang w:val="en-GB"/>
        </w:rPr>
        <mc:AlternateContent>
          <mc:Choice Requires="wps">
            <w:drawing>
              <wp:anchor distT="0" distB="0" distL="114300" distR="114300" simplePos="0" relativeHeight="251659776" behindDoc="0" locked="0" layoutInCell="0" allowOverlap="1" wp14:anchorId="45BE0657" wp14:editId="688E467D">
                <wp:simplePos x="0" y="0"/>
                <wp:positionH relativeFrom="column">
                  <wp:posOffset>19050</wp:posOffset>
                </wp:positionH>
                <wp:positionV relativeFrom="paragraph">
                  <wp:posOffset>-80645</wp:posOffset>
                </wp:positionV>
                <wp:extent cx="5943600" cy="635"/>
                <wp:effectExtent l="0" t="0" r="0" b="0"/>
                <wp:wrapNone/>
                <wp:docPr id="47707826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0857E7"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6.35pt" to="469.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" o:allowincell="f" strokecolor="#d4d4d4" strokeweight="1.75pt">
                <v:shadow on="t" offset="0,-1pt"/>
              </v:line>
            </w:pict>
          </mc:Fallback>
        </mc:AlternateContent>
      </w:r>
      <w:r w:rsidR="00994EA3" w:rsidRPr="00B33EE6">
        <w:rPr>
          <w:rStyle w:val="Strong"/>
          <w:sz w:val="28"/>
          <w:szCs w:val="28"/>
          <w:lang w:val="en-GB"/>
        </w:rPr>
        <w:t>TENDERING</w:t>
      </w:r>
    </w:p>
    <w:p w14:paraId="592B0149" w14:textId="77777777" w:rsidR="006F5FD0" w:rsidRPr="001A6777" w:rsidRDefault="00994EA3" w:rsidP="001A6777">
      <w:pPr>
        <w:keepNext/>
        <w:keepLines/>
        <w:widowControl/>
        <w:ind w:left="426" w:hanging="426"/>
        <w:outlineLvl w:val="0"/>
        <w:rPr>
          <w:rStyle w:val="Strong"/>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07222EC2" w:rsidR="006F5FD0" w:rsidRPr="00B33EE6" w:rsidRDefault="00994EA3" w:rsidP="001A6777">
      <w:pPr>
        <w:pStyle w:val="Blockquote"/>
        <w:keepNext/>
        <w:keepLines/>
        <w:widowControl/>
        <w:ind w:left="0"/>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p>
    <w:p w14:paraId="7D60F8E6" w14:textId="77777777" w:rsidR="006F5FD0" w:rsidRPr="001A6777" w:rsidRDefault="00994EA3" w:rsidP="001A6777">
      <w:pPr>
        <w:ind w:left="426" w:hanging="426"/>
        <w:outlineLvl w:val="0"/>
        <w:rPr>
          <w:rStyle w:val="Strong"/>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63A7C86E" w14:textId="77777777" w:rsidR="00A74EDE" w:rsidRDefault="00994EA3" w:rsidP="001A6777">
      <w:pPr>
        <w:pStyle w:val="Blockquote"/>
        <w:spacing w:after="0"/>
        <w:ind w:left="0" w:right="28"/>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p>
    <w:p w14:paraId="0C3990F6" w14:textId="45688578" w:rsidR="006F5FD0" w:rsidRPr="00B33EE6" w:rsidRDefault="00706ADA" w:rsidP="001A6777">
      <w:pPr>
        <w:pStyle w:val="Blockquote"/>
        <w:ind w:left="0" w:right="26"/>
        <w:jc w:val="both"/>
        <w:rPr>
          <w:sz w:val="22"/>
          <w:szCs w:val="22"/>
          <w:lang w:val="en-GB"/>
        </w:rPr>
      </w:pPr>
      <w:hyperlink r:id="rId8" w:anchor="Annexes-AnnexesB(Ch.3):Servicecontracts" w:history="1">
        <w:r w:rsidRPr="00706ADA">
          <w:rPr>
            <w:rStyle w:val="Hyperlink"/>
            <w:sz w:val="22"/>
            <w:szCs w:val="22"/>
            <w:lang w:val="en-GB"/>
          </w:rPr>
          <w:t>https://wikis.ec.europa.eu/display/ExactExternalWiki/Annexes#Annexes-AnnexesB(Ch.3):Servicecontracts</w:t>
        </w:r>
      </w:hyperlink>
      <w:r>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1A6777">
      <w:pPr>
        <w:pStyle w:val="Blockquote"/>
        <w:ind w:left="0" w:right="26"/>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323016" w:rsidP="001A6777">
      <w:pPr>
        <w:pStyle w:val="Blockquote"/>
        <w:ind w:left="0" w:right="26"/>
        <w:jc w:val="both"/>
        <w:rPr>
          <w:sz w:val="22"/>
          <w:szCs w:val="22"/>
          <w:lang w:val="en-GB"/>
        </w:rPr>
      </w:pPr>
      <w:hyperlink r:id="rId9" w:anchor="Annexes-AnnexesA(Ch.2):General" w:history="1">
        <w:r w:rsidRPr="00C14D56">
          <w:rPr>
            <w:rStyle w:val="Hyperlink"/>
            <w:sz w:val="22"/>
            <w:szCs w:val="22"/>
          </w:rPr>
          <w:t>https://wikis.ec.europa.eu/display/ExactExternalWiki/Annexes#Annexes-AnnexesA(Ch.2):General</w:t>
        </w:r>
      </w:hyperlink>
      <w:r>
        <w:rPr>
          <w:sz w:val="22"/>
          <w:szCs w:val="22"/>
        </w:rPr>
        <w:t xml:space="preserve"> </w:t>
      </w:r>
    </w:p>
    <w:p w14:paraId="438E0786" w14:textId="77777777" w:rsidR="006F5FD0" w:rsidRPr="00B33EE6" w:rsidRDefault="006F5FD0" w:rsidP="001A6777">
      <w:pPr>
        <w:pStyle w:val="Blockquote"/>
        <w:ind w:left="0" w:right="26"/>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1A6777" w:rsidRDefault="006F5FD0" w:rsidP="001A6777">
      <w:pPr>
        <w:keepNext/>
        <w:keepLines/>
        <w:widowControl/>
        <w:ind w:left="426" w:hanging="426"/>
        <w:outlineLvl w:val="0"/>
        <w:rPr>
          <w:rStyle w:val="Strong"/>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1A6777">
      <w:pPr>
        <w:pStyle w:val="Blockquote"/>
        <w:ind w:left="0" w:right="26"/>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rsidP="001A6777">
      <w:pPr>
        <w:pStyle w:val="Blockquote"/>
        <w:ind w:left="0" w:right="26"/>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4EDBF57B" w:rsidR="00502BBF" w:rsidRPr="00B33EE6" w:rsidRDefault="00502BBF" w:rsidP="001A6777">
      <w:pPr>
        <w:pStyle w:val="Blockquote"/>
        <w:ind w:left="0" w:right="26"/>
        <w:jc w:val="both"/>
        <w:rPr>
          <w:rStyle w:val="Strong"/>
          <w:b w:val="0"/>
          <w:sz w:val="22"/>
          <w:szCs w:val="22"/>
          <w:lang w:val="en-GB"/>
        </w:rPr>
      </w:pPr>
      <w:r w:rsidRPr="00B33EE6">
        <w:rPr>
          <w:sz w:val="22"/>
          <w:szCs w:val="22"/>
          <w:lang w:val="en-GB"/>
        </w:rPr>
        <w:t>By submitting a tender</w:t>
      </w:r>
      <w:r w:rsidR="001A4F1E">
        <w:rPr>
          <w:sz w:val="22"/>
          <w:szCs w:val="22"/>
          <w:lang w:val="en-GB"/>
        </w:rPr>
        <w:t>,</w:t>
      </w:r>
      <w:r w:rsidRPr="00B33EE6">
        <w:rPr>
          <w:sz w:val="22"/>
          <w:szCs w:val="22"/>
          <w:lang w:val="en-GB"/>
        </w:rPr>
        <w:t xml:space="preserve"> tenderers accept to receive notification of the outcome of the procedure by electronic means.</w:t>
      </w:r>
    </w:p>
    <w:p w14:paraId="78DFA6DC" w14:textId="77777777" w:rsidR="003262FC" w:rsidRPr="001A6777" w:rsidRDefault="003262FC" w:rsidP="001A6777">
      <w:pPr>
        <w:keepNext/>
        <w:keepLines/>
        <w:widowControl/>
        <w:ind w:left="426" w:hanging="426"/>
        <w:outlineLvl w:val="0"/>
        <w:rPr>
          <w:rStyle w:val="Strong"/>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1A6777">
      <w:pPr>
        <w:pStyle w:val="Blockquote"/>
        <w:ind w:left="0" w:right="26"/>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1A6777">
      <w:pPr>
        <w:pStyle w:val="Blockquote"/>
        <w:ind w:left="0" w:right="26"/>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1A6777" w:rsidRDefault="003262FC" w:rsidP="001A6777">
      <w:pPr>
        <w:keepNext/>
        <w:keepLines/>
        <w:widowControl/>
        <w:ind w:left="426" w:hanging="426"/>
        <w:outlineLvl w:val="0"/>
        <w:rPr>
          <w:rStyle w:val="Strong"/>
        </w:rPr>
      </w:pPr>
      <w:r w:rsidRPr="00B33EE6">
        <w:rPr>
          <w:rStyle w:val="Strong"/>
          <w:sz w:val="22"/>
          <w:szCs w:val="22"/>
          <w:lang w:val="en-GB"/>
        </w:rPr>
        <w:lastRenderedPageBreak/>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55D520E3" w:rsidR="006F5FD0" w:rsidRPr="00B33EE6" w:rsidRDefault="006F5FD0" w:rsidP="001A6777">
      <w:pPr>
        <w:pStyle w:val="Blockquote"/>
        <w:ind w:left="0"/>
        <w:jc w:val="both"/>
        <w:rPr>
          <w:i/>
          <w:sz w:val="22"/>
          <w:szCs w:val="22"/>
          <w:lang w:val="en-GB"/>
        </w:rPr>
      </w:pPr>
      <w:r w:rsidRPr="00B33EE6">
        <w:rPr>
          <w:rStyle w:val="Emphasis"/>
          <w:i w:val="0"/>
          <w:sz w:val="22"/>
          <w:szCs w:val="22"/>
          <w:lang w:val="en-GB"/>
        </w:rPr>
        <w:t>All written communications for this tender procedure and contract must be in English.</w:t>
      </w:r>
    </w:p>
    <w:p w14:paraId="38DC66B2" w14:textId="6C5B8B90" w:rsidR="00E9047D" w:rsidRPr="001A6777" w:rsidRDefault="00326B16" w:rsidP="001A6777">
      <w:pPr>
        <w:keepNext/>
        <w:keepLines/>
        <w:widowControl/>
        <w:ind w:left="426" w:hanging="426"/>
        <w:outlineLvl w:val="0"/>
        <w:rPr>
          <w:rStyle w:val="Strong"/>
        </w:rPr>
      </w:pPr>
      <w:r w:rsidRPr="001A6777">
        <w:rPr>
          <w:rStyle w:val="Strong"/>
        </w:rPr>
        <w:t>23</w:t>
      </w:r>
      <w:r w:rsidR="008272C0" w:rsidRPr="001A6777">
        <w:rPr>
          <w:rStyle w:val="Strong"/>
        </w:rPr>
        <w:t>.</w:t>
      </w:r>
      <w:r w:rsidR="00D3113D">
        <w:rPr>
          <w:rStyle w:val="Strong"/>
        </w:rPr>
        <w:tab/>
      </w:r>
      <w:r w:rsidR="00E9047D" w:rsidRPr="001A6777">
        <w:rPr>
          <w:rStyle w:val="Strong"/>
        </w:rPr>
        <w:t>Additional information</w:t>
      </w:r>
    </w:p>
    <w:p w14:paraId="7A5C8404" w14:textId="7564E77D" w:rsidR="00AF412E" w:rsidRPr="001A6777" w:rsidRDefault="00AF412E" w:rsidP="001A6777">
      <w:pPr>
        <w:widowControl/>
        <w:snapToGrid w:val="0"/>
        <w:spacing w:after="240"/>
        <w:ind w:right="26"/>
        <w:jc w:val="both"/>
        <w:rPr>
          <w:sz w:val="22"/>
          <w:szCs w:val="22"/>
          <w:lang w:val="en-GB"/>
        </w:rPr>
      </w:pPr>
      <w:r w:rsidRPr="001A6777">
        <w:rPr>
          <w:sz w:val="22"/>
          <w:szCs w:val="22"/>
          <w:lang w:val="en-GB"/>
        </w:rPr>
        <w:t xml:space="preserve">Financial data to be provided by the candidate in the standard application form must be expressed in </w:t>
      </w:r>
      <w:r w:rsidR="00F21DDC">
        <w:rPr>
          <w:sz w:val="22"/>
          <w:szCs w:val="22"/>
          <w:lang w:val="en-GB"/>
        </w:rPr>
        <w:t>RSD</w:t>
      </w:r>
      <w:r w:rsidRPr="001A6777">
        <w:rPr>
          <w:sz w:val="22"/>
          <w:szCs w:val="22"/>
          <w:lang w:val="en-GB"/>
        </w:rPr>
        <w:t xml:space="preserve">. If applicable, where a candidate refers to amounts originally expressed in a different currency, the conversion to </w:t>
      </w:r>
      <w:r w:rsidR="00F21DDC">
        <w:rPr>
          <w:sz w:val="22"/>
          <w:szCs w:val="22"/>
          <w:lang w:val="en-GB"/>
        </w:rPr>
        <w:t>RSD</w:t>
      </w:r>
      <w:r w:rsidRPr="001A6777">
        <w:rPr>
          <w:sz w:val="22"/>
          <w:szCs w:val="22"/>
          <w:lang w:val="en-GB"/>
        </w:rPr>
        <w:t xml:space="preserve"> shall be made in accordance with the </w:t>
      </w:r>
      <w:proofErr w:type="spellStart"/>
      <w:r w:rsidRPr="001A6777">
        <w:rPr>
          <w:sz w:val="22"/>
          <w:szCs w:val="22"/>
          <w:lang w:val="en-GB"/>
        </w:rPr>
        <w:t>InforEuro</w:t>
      </w:r>
      <w:proofErr w:type="spellEnd"/>
      <w:r w:rsidRPr="001A6777">
        <w:rPr>
          <w:sz w:val="22"/>
          <w:szCs w:val="22"/>
          <w:lang w:val="en-GB"/>
        </w:rPr>
        <w:t xml:space="preserve"> exchange rate of </w:t>
      </w:r>
      <w:r w:rsidR="00F21DDC">
        <w:rPr>
          <w:sz w:val="22"/>
          <w:szCs w:val="22"/>
          <w:lang w:val="en-GB"/>
        </w:rPr>
        <w:t>February 2025</w:t>
      </w:r>
      <w:r w:rsidRPr="001A6777">
        <w:rPr>
          <w:sz w:val="22"/>
          <w:szCs w:val="22"/>
          <w:lang w:val="en-GB"/>
        </w:rPr>
        <w:t xml:space="preserve">, which can be found at the following address: </w:t>
      </w:r>
      <w:hyperlink r:id="rId10" w:history="1">
        <w:r w:rsidRPr="001A6777">
          <w:rPr>
            <w:rStyle w:val="Hyperlink"/>
            <w:sz w:val="22"/>
            <w:szCs w:val="22"/>
            <w:lang w:val="en-GB"/>
          </w:rPr>
          <w:t>http://ec.europa.eu/budget/graphs/inforeuro.html</w:t>
        </w:r>
      </w:hyperlink>
      <w:r w:rsidRPr="001A6777">
        <w:rPr>
          <w:sz w:val="22"/>
          <w:szCs w:val="22"/>
          <w:lang w:val="en-GB"/>
        </w:rPr>
        <w:t>.</w:t>
      </w:r>
    </w:p>
    <w:p w14:paraId="2AC4BD41" w14:textId="0F4DD6AB" w:rsidR="007F6AA9" w:rsidRPr="00F9055E" w:rsidRDefault="00D3113D" w:rsidP="001A6777">
      <w:pPr>
        <w:pStyle w:val="Blockquote"/>
        <w:spacing w:before="840" w:afterAutospacing="1"/>
        <w:ind w:left="357" w:right="357"/>
        <w:jc w:val="center"/>
        <w:rPr>
          <w:sz w:val="22"/>
          <w:szCs w:val="22"/>
          <w:lang w:val="en-GB"/>
        </w:rPr>
      </w:pPr>
      <w:r>
        <w:rPr>
          <w:sz w:val="22"/>
          <w:szCs w:val="22"/>
          <w:lang w:val="en-GB"/>
        </w:rPr>
        <w:t>* * *</w:t>
      </w:r>
    </w:p>
    <w:sectPr w:rsidR="007F6AA9" w:rsidRPr="00F9055E" w:rsidSect="00E147D3">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39C1C" w14:textId="77777777" w:rsidR="00DB29FD" w:rsidRDefault="00DB29FD">
      <w:r>
        <w:separator/>
      </w:r>
    </w:p>
  </w:endnote>
  <w:endnote w:type="continuationSeparator" w:id="0">
    <w:p w14:paraId="112A39CA" w14:textId="77777777" w:rsidR="00DB29FD" w:rsidRDefault="00DB2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BA12" w14:textId="23400CBA"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15492">
      <w:rPr>
        <w:b/>
        <w:sz w:val="20"/>
      </w:rPr>
      <w:t>5</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C14D56">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C14D56">
      <w:rPr>
        <w:rStyle w:val="PageNumber"/>
        <w:noProof/>
        <w:sz w:val="18"/>
        <w:szCs w:val="18"/>
        <w:lang w:val="en-GB"/>
      </w:rPr>
      <w:t>12</w:t>
    </w:r>
    <w:r w:rsidR="00B33EE6" w:rsidRPr="00B33EE6">
      <w:rPr>
        <w:rStyle w:val="PageNumber"/>
        <w:sz w:val="18"/>
        <w:szCs w:val="18"/>
        <w:lang w:val="en-GB"/>
      </w:rPr>
      <w:fldChar w:fldCharType="end"/>
    </w:r>
  </w:p>
  <w:p w14:paraId="77551F46" w14:textId="48AD8750" w:rsidR="00EF0A8C" w:rsidRPr="00B33EE6" w:rsidRDefault="001A650B" w:rsidP="001A650B">
    <w:pPr>
      <w:pStyle w:val="Footer"/>
      <w:spacing w:before="0" w:after="0"/>
      <w:rPr>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6D7411">
      <w:rPr>
        <w:noProof/>
        <w:sz w:val="18"/>
        <w:szCs w:val="18"/>
        <w:lang w:val="en-GB"/>
      </w:rPr>
      <w:t>b8o3_contractnotice_simp_neg_en</w:t>
    </w:r>
    <w:r>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906316" w14:textId="77777777" w:rsidR="00DB29FD" w:rsidRDefault="00DB29FD">
      <w:r>
        <w:separator/>
      </w:r>
    </w:p>
  </w:footnote>
  <w:footnote w:type="continuationSeparator" w:id="0">
    <w:p w14:paraId="5979DF92" w14:textId="77777777" w:rsidR="00DB29FD" w:rsidRDefault="00DB29FD">
      <w:r>
        <w:continuationSeparator/>
      </w:r>
    </w:p>
  </w:footnote>
  <w:footnote w:id="1">
    <w:p w14:paraId="2007C149" w14:textId="6EA8D8CC" w:rsidR="00B55A6D" w:rsidRPr="001A6777" w:rsidRDefault="00B55A6D" w:rsidP="001A6777">
      <w:pPr>
        <w:pStyle w:val="FootnoteText"/>
        <w:ind w:left="284" w:hanging="284"/>
        <w:rPr>
          <w:lang w:val="en-IE"/>
        </w:rPr>
      </w:pPr>
      <w:r>
        <w:rPr>
          <w:rStyle w:val="FootnoteReference"/>
        </w:rPr>
        <w:footnoteRef/>
      </w:r>
      <w:r w:rsidR="0008338B">
        <w:tab/>
      </w:r>
      <w:r w:rsidRPr="005C423F">
        <w:rPr>
          <w:sz w:val="18"/>
          <w:szCs w:val="18"/>
        </w:rPr>
        <w:t>Please note that the EU Official Journal contains the official list of entities subject to restrictive measures and, in case of conflict, it prevails over the list of the </w:t>
      </w:r>
      <w:hyperlink r:id="rId1" w:anchor="/main" w:tgtFrame="_blank" w:history="1">
        <w:r w:rsidRPr="00E37E17">
          <w:rPr>
            <w:rStyle w:val="Hyperlink"/>
            <w:i/>
            <w:iCs/>
            <w:sz w:val="18"/>
            <w:szCs w:val="18"/>
          </w:rPr>
          <w:t>EU Sanctions Map</w:t>
        </w:r>
      </w:hyperlink>
      <w:r w:rsidRPr="005C423F">
        <w:rPr>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29F3AF8"/>
    <w:multiLevelType w:val="hybridMultilevel"/>
    <w:tmpl w:val="0F2097B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40"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8D3371E"/>
    <w:multiLevelType w:val="hybridMultilevel"/>
    <w:tmpl w:val="7938EEFA"/>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42"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3F055ABA"/>
    <w:multiLevelType w:val="hybridMultilevel"/>
    <w:tmpl w:val="6C987360"/>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44"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8314846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2006853895">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80010740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2101751565">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80859437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440926233">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54548100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2090542314">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886139150">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983193022">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692653692">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77427089">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426315442">
    <w:abstractNumId w:val="17"/>
  </w:num>
  <w:num w:numId="14" w16cid:durableId="496656421">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861630045">
    <w:abstractNumId w:val="13"/>
  </w:num>
  <w:num w:numId="16" w16cid:durableId="1975673608">
    <w:abstractNumId w:val="15"/>
  </w:num>
  <w:num w:numId="17" w16cid:durableId="149390827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674648867">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638492267">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425540126">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585306897">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78480951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007949459">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607809218">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391344622">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2144618018">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359403250">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61505678">
    <w:abstractNumId w:val="27"/>
  </w:num>
  <w:num w:numId="29" w16cid:durableId="2090038602">
    <w:abstractNumId w:val="27"/>
  </w:num>
  <w:num w:numId="30" w16cid:durableId="781991991">
    <w:abstractNumId w:val="27"/>
  </w:num>
  <w:num w:numId="31" w16cid:durableId="1536036556">
    <w:abstractNumId w:val="27"/>
  </w:num>
  <w:num w:numId="32" w16cid:durableId="2024357277">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215513631">
    <w:abstractNumId w:val="36"/>
  </w:num>
  <w:num w:numId="34" w16cid:durableId="1549956427">
    <w:abstractNumId w:val="44"/>
  </w:num>
  <w:num w:numId="35" w16cid:durableId="337386378">
    <w:abstractNumId w:val="35"/>
  </w:num>
  <w:num w:numId="36" w16cid:durableId="2127701039">
    <w:abstractNumId w:val="33"/>
  </w:num>
  <w:num w:numId="37" w16cid:durableId="962926559">
    <w:abstractNumId w:val="37"/>
  </w:num>
  <w:num w:numId="38" w16cid:durableId="1435200785">
    <w:abstractNumId w:val="40"/>
  </w:num>
  <w:num w:numId="39" w16cid:durableId="90203469">
    <w:abstractNumId w:val="46"/>
  </w:num>
  <w:num w:numId="40" w16cid:durableId="715812902">
    <w:abstractNumId w:val="47"/>
  </w:num>
  <w:num w:numId="41" w16cid:durableId="624190094">
    <w:abstractNumId w:val="42"/>
  </w:num>
  <w:num w:numId="42" w16cid:durableId="1712731211">
    <w:abstractNumId w:val="45"/>
  </w:num>
  <w:num w:numId="43" w16cid:durableId="911357192">
    <w:abstractNumId w:val="38"/>
  </w:num>
  <w:num w:numId="44" w16cid:durableId="1484202604">
    <w:abstractNumId w:val="34"/>
  </w:num>
  <w:num w:numId="45" w16cid:durableId="1048841874">
    <w:abstractNumId w:val="39"/>
  </w:num>
  <w:num w:numId="46" w16cid:durableId="387386429">
    <w:abstractNumId w:val="41"/>
  </w:num>
  <w:num w:numId="47" w16cid:durableId="75322630">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es-ES_tradnl" w:vendorID="64" w:dllVersion="0" w:nlCheck="1" w:checkStyle="0"/>
  <w:activeWritingStyle w:appName="MSWord" w:lang="fr-BE" w:vendorID="64" w:dllVersion="0" w:nlCheck="1" w:checkStyle="0"/>
  <w:activeWritingStyle w:appName="MSWord" w:lang="es-E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50FF8"/>
    <w:rsid w:val="00002435"/>
    <w:rsid w:val="00006898"/>
    <w:rsid w:val="00012223"/>
    <w:rsid w:val="00012AF1"/>
    <w:rsid w:val="00013EB7"/>
    <w:rsid w:val="00013EEA"/>
    <w:rsid w:val="00013F0F"/>
    <w:rsid w:val="00014B76"/>
    <w:rsid w:val="00015492"/>
    <w:rsid w:val="0002004D"/>
    <w:rsid w:val="00022D5F"/>
    <w:rsid w:val="000272E7"/>
    <w:rsid w:val="0003004C"/>
    <w:rsid w:val="00030910"/>
    <w:rsid w:val="000333FE"/>
    <w:rsid w:val="00051D1D"/>
    <w:rsid w:val="00060001"/>
    <w:rsid w:val="0006084A"/>
    <w:rsid w:val="00063FB5"/>
    <w:rsid w:val="00080900"/>
    <w:rsid w:val="00081C8C"/>
    <w:rsid w:val="0008338B"/>
    <w:rsid w:val="00087A72"/>
    <w:rsid w:val="00094707"/>
    <w:rsid w:val="00095030"/>
    <w:rsid w:val="000A0D57"/>
    <w:rsid w:val="000A3758"/>
    <w:rsid w:val="000B693E"/>
    <w:rsid w:val="000B7C91"/>
    <w:rsid w:val="000C1101"/>
    <w:rsid w:val="000C1522"/>
    <w:rsid w:val="000D1732"/>
    <w:rsid w:val="000D3847"/>
    <w:rsid w:val="000D3EBF"/>
    <w:rsid w:val="000D57AC"/>
    <w:rsid w:val="000E4709"/>
    <w:rsid w:val="000F0F6C"/>
    <w:rsid w:val="000F1340"/>
    <w:rsid w:val="000F5DEF"/>
    <w:rsid w:val="0010162C"/>
    <w:rsid w:val="00105302"/>
    <w:rsid w:val="0013314C"/>
    <w:rsid w:val="0014405E"/>
    <w:rsid w:val="00145CFA"/>
    <w:rsid w:val="00150687"/>
    <w:rsid w:val="001661F7"/>
    <w:rsid w:val="00171F2E"/>
    <w:rsid w:val="00180D47"/>
    <w:rsid w:val="001903F3"/>
    <w:rsid w:val="001951FE"/>
    <w:rsid w:val="00195F75"/>
    <w:rsid w:val="001A4F1E"/>
    <w:rsid w:val="001A59BB"/>
    <w:rsid w:val="001A650B"/>
    <w:rsid w:val="001A6777"/>
    <w:rsid w:val="001B2571"/>
    <w:rsid w:val="001C21A2"/>
    <w:rsid w:val="001C4349"/>
    <w:rsid w:val="001C64F1"/>
    <w:rsid w:val="001D19A6"/>
    <w:rsid w:val="001D55F7"/>
    <w:rsid w:val="001E50A2"/>
    <w:rsid w:val="001F0839"/>
    <w:rsid w:val="001F1546"/>
    <w:rsid w:val="001F6AB7"/>
    <w:rsid w:val="001F780C"/>
    <w:rsid w:val="001F7E89"/>
    <w:rsid w:val="00201320"/>
    <w:rsid w:val="00212656"/>
    <w:rsid w:val="00212BC7"/>
    <w:rsid w:val="00213E14"/>
    <w:rsid w:val="00215403"/>
    <w:rsid w:val="00216179"/>
    <w:rsid w:val="00226829"/>
    <w:rsid w:val="00233B9D"/>
    <w:rsid w:val="00233DDA"/>
    <w:rsid w:val="00235A71"/>
    <w:rsid w:val="002413EA"/>
    <w:rsid w:val="00243849"/>
    <w:rsid w:val="002575AA"/>
    <w:rsid w:val="00266EB9"/>
    <w:rsid w:val="002753AD"/>
    <w:rsid w:val="002A3B06"/>
    <w:rsid w:val="002B2145"/>
    <w:rsid w:val="002D266E"/>
    <w:rsid w:val="002D4121"/>
    <w:rsid w:val="002E1B83"/>
    <w:rsid w:val="002E2635"/>
    <w:rsid w:val="002E7D33"/>
    <w:rsid w:val="002F4E69"/>
    <w:rsid w:val="003045C3"/>
    <w:rsid w:val="0030608A"/>
    <w:rsid w:val="00313F6B"/>
    <w:rsid w:val="00322D52"/>
    <w:rsid w:val="00323016"/>
    <w:rsid w:val="003232ED"/>
    <w:rsid w:val="003237E4"/>
    <w:rsid w:val="00323BDD"/>
    <w:rsid w:val="003262FC"/>
    <w:rsid w:val="00326B16"/>
    <w:rsid w:val="00327E0B"/>
    <w:rsid w:val="00330261"/>
    <w:rsid w:val="003378F6"/>
    <w:rsid w:val="00340648"/>
    <w:rsid w:val="00342E7F"/>
    <w:rsid w:val="00345A77"/>
    <w:rsid w:val="00347673"/>
    <w:rsid w:val="00353144"/>
    <w:rsid w:val="003574F5"/>
    <w:rsid w:val="00357E25"/>
    <w:rsid w:val="00362824"/>
    <w:rsid w:val="00364564"/>
    <w:rsid w:val="003670BA"/>
    <w:rsid w:val="003717BC"/>
    <w:rsid w:val="003861D9"/>
    <w:rsid w:val="0038633F"/>
    <w:rsid w:val="00386E96"/>
    <w:rsid w:val="0038795F"/>
    <w:rsid w:val="0038796E"/>
    <w:rsid w:val="0039147E"/>
    <w:rsid w:val="0039347D"/>
    <w:rsid w:val="003947E7"/>
    <w:rsid w:val="00396E63"/>
    <w:rsid w:val="00397073"/>
    <w:rsid w:val="003A4357"/>
    <w:rsid w:val="003B1B35"/>
    <w:rsid w:val="003C0359"/>
    <w:rsid w:val="003C1515"/>
    <w:rsid w:val="003C23AA"/>
    <w:rsid w:val="003C2F73"/>
    <w:rsid w:val="003D16FB"/>
    <w:rsid w:val="003D6CAD"/>
    <w:rsid w:val="003E782D"/>
    <w:rsid w:val="00400098"/>
    <w:rsid w:val="0040360C"/>
    <w:rsid w:val="004108A4"/>
    <w:rsid w:val="00414AE3"/>
    <w:rsid w:val="00415616"/>
    <w:rsid w:val="004207FF"/>
    <w:rsid w:val="00424124"/>
    <w:rsid w:val="00433BCA"/>
    <w:rsid w:val="0043533D"/>
    <w:rsid w:val="00445514"/>
    <w:rsid w:val="00452ED8"/>
    <w:rsid w:val="0045494F"/>
    <w:rsid w:val="004567DF"/>
    <w:rsid w:val="00472630"/>
    <w:rsid w:val="00473883"/>
    <w:rsid w:val="00476D80"/>
    <w:rsid w:val="00480B5C"/>
    <w:rsid w:val="00481C54"/>
    <w:rsid w:val="00482E0D"/>
    <w:rsid w:val="004850B4"/>
    <w:rsid w:val="004901C2"/>
    <w:rsid w:val="004916FF"/>
    <w:rsid w:val="004957E5"/>
    <w:rsid w:val="004C21CC"/>
    <w:rsid w:val="004C3FDE"/>
    <w:rsid w:val="004C49B2"/>
    <w:rsid w:val="004D031B"/>
    <w:rsid w:val="004D4663"/>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A21DC"/>
    <w:rsid w:val="005B35A2"/>
    <w:rsid w:val="005B4F80"/>
    <w:rsid w:val="005B5E3C"/>
    <w:rsid w:val="005C28DA"/>
    <w:rsid w:val="005C71EF"/>
    <w:rsid w:val="005D41DD"/>
    <w:rsid w:val="005F776D"/>
    <w:rsid w:val="0060359F"/>
    <w:rsid w:val="0061336A"/>
    <w:rsid w:val="00621CC7"/>
    <w:rsid w:val="00623162"/>
    <w:rsid w:val="006309DE"/>
    <w:rsid w:val="00632BDC"/>
    <w:rsid w:val="0064390B"/>
    <w:rsid w:val="00661E54"/>
    <w:rsid w:val="00663C6D"/>
    <w:rsid w:val="006714ED"/>
    <w:rsid w:val="006738B9"/>
    <w:rsid w:val="00674F9C"/>
    <w:rsid w:val="006751D2"/>
    <w:rsid w:val="006770CA"/>
    <w:rsid w:val="0068424D"/>
    <w:rsid w:val="00686C3A"/>
    <w:rsid w:val="00690E9D"/>
    <w:rsid w:val="00697F82"/>
    <w:rsid w:val="006A0598"/>
    <w:rsid w:val="006A66DA"/>
    <w:rsid w:val="006A7394"/>
    <w:rsid w:val="006B2EDA"/>
    <w:rsid w:val="006B59B9"/>
    <w:rsid w:val="006C0EB6"/>
    <w:rsid w:val="006C0F37"/>
    <w:rsid w:val="006D330F"/>
    <w:rsid w:val="006D6080"/>
    <w:rsid w:val="006D7411"/>
    <w:rsid w:val="006E0C6A"/>
    <w:rsid w:val="006E18CE"/>
    <w:rsid w:val="006E1BD0"/>
    <w:rsid w:val="006E3377"/>
    <w:rsid w:val="006E625F"/>
    <w:rsid w:val="006F5FD0"/>
    <w:rsid w:val="006F6C52"/>
    <w:rsid w:val="006F7885"/>
    <w:rsid w:val="007046C8"/>
    <w:rsid w:val="00706ADA"/>
    <w:rsid w:val="00706E7C"/>
    <w:rsid w:val="00710A38"/>
    <w:rsid w:val="007117DC"/>
    <w:rsid w:val="007121FB"/>
    <w:rsid w:val="007129D6"/>
    <w:rsid w:val="00712CB3"/>
    <w:rsid w:val="00715755"/>
    <w:rsid w:val="00723603"/>
    <w:rsid w:val="00726C83"/>
    <w:rsid w:val="00731A9A"/>
    <w:rsid w:val="007471C5"/>
    <w:rsid w:val="00750FF8"/>
    <w:rsid w:val="00753FC2"/>
    <w:rsid w:val="00756C38"/>
    <w:rsid w:val="00761673"/>
    <w:rsid w:val="00761893"/>
    <w:rsid w:val="007645D0"/>
    <w:rsid w:val="007653F4"/>
    <w:rsid w:val="00770822"/>
    <w:rsid w:val="00771F97"/>
    <w:rsid w:val="007727F3"/>
    <w:rsid w:val="007874C8"/>
    <w:rsid w:val="0079428E"/>
    <w:rsid w:val="00794A92"/>
    <w:rsid w:val="00796976"/>
    <w:rsid w:val="00796CC5"/>
    <w:rsid w:val="007A04AC"/>
    <w:rsid w:val="007A4037"/>
    <w:rsid w:val="007C352C"/>
    <w:rsid w:val="007C5DFD"/>
    <w:rsid w:val="007D51F2"/>
    <w:rsid w:val="007D6292"/>
    <w:rsid w:val="007D761E"/>
    <w:rsid w:val="007F095B"/>
    <w:rsid w:val="007F26E3"/>
    <w:rsid w:val="007F45E2"/>
    <w:rsid w:val="007F5383"/>
    <w:rsid w:val="007F6AA9"/>
    <w:rsid w:val="008006B4"/>
    <w:rsid w:val="00800827"/>
    <w:rsid w:val="0080610B"/>
    <w:rsid w:val="00810582"/>
    <w:rsid w:val="00813A48"/>
    <w:rsid w:val="008152EF"/>
    <w:rsid w:val="00815CF7"/>
    <w:rsid w:val="008162F6"/>
    <w:rsid w:val="00817895"/>
    <w:rsid w:val="00817B4A"/>
    <w:rsid w:val="008272C0"/>
    <w:rsid w:val="008323D3"/>
    <w:rsid w:val="008351FF"/>
    <w:rsid w:val="00836320"/>
    <w:rsid w:val="00845F81"/>
    <w:rsid w:val="00862885"/>
    <w:rsid w:val="0087086B"/>
    <w:rsid w:val="00881C2D"/>
    <w:rsid w:val="00894E29"/>
    <w:rsid w:val="0089693D"/>
    <w:rsid w:val="008A1514"/>
    <w:rsid w:val="008B0830"/>
    <w:rsid w:val="008B77CD"/>
    <w:rsid w:val="008C3178"/>
    <w:rsid w:val="008C68A0"/>
    <w:rsid w:val="008C6D92"/>
    <w:rsid w:val="008D1243"/>
    <w:rsid w:val="008D3E45"/>
    <w:rsid w:val="008E2D12"/>
    <w:rsid w:val="008F294D"/>
    <w:rsid w:val="009055F3"/>
    <w:rsid w:val="009066B6"/>
    <w:rsid w:val="00907556"/>
    <w:rsid w:val="00913817"/>
    <w:rsid w:val="00925F7F"/>
    <w:rsid w:val="009260B8"/>
    <w:rsid w:val="0092731B"/>
    <w:rsid w:val="009317C0"/>
    <w:rsid w:val="00933735"/>
    <w:rsid w:val="0093429C"/>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966C9"/>
    <w:rsid w:val="009A38DE"/>
    <w:rsid w:val="009B06B5"/>
    <w:rsid w:val="009B69BE"/>
    <w:rsid w:val="009C197A"/>
    <w:rsid w:val="009C74C8"/>
    <w:rsid w:val="009E5BC1"/>
    <w:rsid w:val="009F0852"/>
    <w:rsid w:val="009F128B"/>
    <w:rsid w:val="009F12A5"/>
    <w:rsid w:val="009F5FB4"/>
    <w:rsid w:val="00A00023"/>
    <w:rsid w:val="00A00BD5"/>
    <w:rsid w:val="00A02061"/>
    <w:rsid w:val="00A021B5"/>
    <w:rsid w:val="00A02E6B"/>
    <w:rsid w:val="00A03055"/>
    <w:rsid w:val="00A046E7"/>
    <w:rsid w:val="00A04B00"/>
    <w:rsid w:val="00A11931"/>
    <w:rsid w:val="00A152BA"/>
    <w:rsid w:val="00A171EA"/>
    <w:rsid w:val="00A22177"/>
    <w:rsid w:val="00A236A4"/>
    <w:rsid w:val="00A27281"/>
    <w:rsid w:val="00A35081"/>
    <w:rsid w:val="00A36F1C"/>
    <w:rsid w:val="00A433A6"/>
    <w:rsid w:val="00A43E7A"/>
    <w:rsid w:val="00A46ED3"/>
    <w:rsid w:val="00A504E1"/>
    <w:rsid w:val="00A666EC"/>
    <w:rsid w:val="00A74EDE"/>
    <w:rsid w:val="00A779FE"/>
    <w:rsid w:val="00A77B07"/>
    <w:rsid w:val="00A84E04"/>
    <w:rsid w:val="00A85E8A"/>
    <w:rsid w:val="00A94ED6"/>
    <w:rsid w:val="00A97B08"/>
    <w:rsid w:val="00AA04CC"/>
    <w:rsid w:val="00AA5256"/>
    <w:rsid w:val="00AA7C10"/>
    <w:rsid w:val="00AA7F22"/>
    <w:rsid w:val="00AB7F58"/>
    <w:rsid w:val="00AC0D0C"/>
    <w:rsid w:val="00AC4530"/>
    <w:rsid w:val="00AC7E0D"/>
    <w:rsid w:val="00AD1660"/>
    <w:rsid w:val="00AD1E4D"/>
    <w:rsid w:val="00AD3C4A"/>
    <w:rsid w:val="00AE1D8D"/>
    <w:rsid w:val="00AE4633"/>
    <w:rsid w:val="00AE6A5B"/>
    <w:rsid w:val="00AF0B6B"/>
    <w:rsid w:val="00AF412E"/>
    <w:rsid w:val="00AF5261"/>
    <w:rsid w:val="00AF7BB3"/>
    <w:rsid w:val="00B00363"/>
    <w:rsid w:val="00B02071"/>
    <w:rsid w:val="00B063F9"/>
    <w:rsid w:val="00B06D60"/>
    <w:rsid w:val="00B112A1"/>
    <w:rsid w:val="00B1406D"/>
    <w:rsid w:val="00B14398"/>
    <w:rsid w:val="00B14400"/>
    <w:rsid w:val="00B14E3C"/>
    <w:rsid w:val="00B200AF"/>
    <w:rsid w:val="00B27B8B"/>
    <w:rsid w:val="00B33EE6"/>
    <w:rsid w:val="00B46840"/>
    <w:rsid w:val="00B503CB"/>
    <w:rsid w:val="00B50F8D"/>
    <w:rsid w:val="00B55A6D"/>
    <w:rsid w:val="00B60EC5"/>
    <w:rsid w:val="00B644B9"/>
    <w:rsid w:val="00B64600"/>
    <w:rsid w:val="00B7349E"/>
    <w:rsid w:val="00B738A7"/>
    <w:rsid w:val="00B7586A"/>
    <w:rsid w:val="00B766F9"/>
    <w:rsid w:val="00B805A5"/>
    <w:rsid w:val="00B83DA1"/>
    <w:rsid w:val="00B84AED"/>
    <w:rsid w:val="00B90EE0"/>
    <w:rsid w:val="00B92478"/>
    <w:rsid w:val="00B9793F"/>
    <w:rsid w:val="00BA0765"/>
    <w:rsid w:val="00BA44A3"/>
    <w:rsid w:val="00BA7C3E"/>
    <w:rsid w:val="00BB2689"/>
    <w:rsid w:val="00BC3120"/>
    <w:rsid w:val="00BC353E"/>
    <w:rsid w:val="00BD65BA"/>
    <w:rsid w:val="00BD69EF"/>
    <w:rsid w:val="00BE08EC"/>
    <w:rsid w:val="00BE3544"/>
    <w:rsid w:val="00BE595A"/>
    <w:rsid w:val="00BE5F29"/>
    <w:rsid w:val="00BE783C"/>
    <w:rsid w:val="00C00D44"/>
    <w:rsid w:val="00C03AF5"/>
    <w:rsid w:val="00C04FCE"/>
    <w:rsid w:val="00C06609"/>
    <w:rsid w:val="00C067C5"/>
    <w:rsid w:val="00C0772E"/>
    <w:rsid w:val="00C10DC7"/>
    <w:rsid w:val="00C147B2"/>
    <w:rsid w:val="00C14D56"/>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A3B1B"/>
    <w:rsid w:val="00CB23E3"/>
    <w:rsid w:val="00CB759D"/>
    <w:rsid w:val="00CB7AAE"/>
    <w:rsid w:val="00CC0A41"/>
    <w:rsid w:val="00CC3BA0"/>
    <w:rsid w:val="00CC48C9"/>
    <w:rsid w:val="00CD765A"/>
    <w:rsid w:val="00CE49A1"/>
    <w:rsid w:val="00CF31FC"/>
    <w:rsid w:val="00CF36D7"/>
    <w:rsid w:val="00CF759C"/>
    <w:rsid w:val="00D00216"/>
    <w:rsid w:val="00D011CD"/>
    <w:rsid w:val="00D05BF4"/>
    <w:rsid w:val="00D14A9D"/>
    <w:rsid w:val="00D17A30"/>
    <w:rsid w:val="00D225CC"/>
    <w:rsid w:val="00D22682"/>
    <w:rsid w:val="00D240C3"/>
    <w:rsid w:val="00D2786B"/>
    <w:rsid w:val="00D3113D"/>
    <w:rsid w:val="00D32849"/>
    <w:rsid w:val="00D33DD9"/>
    <w:rsid w:val="00D434A7"/>
    <w:rsid w:val="00D46724"/>
    <w:rsid w:val="00D517A4"/>
    <w:rsid w:val="00D51C7E"/>
    <w:rsid w:val="00D549F4"/>
    <w:rsid w:val="00D64101"/>
    <w:rsid w:val="00D66404"/>
    <w:rsid w:val="00D81A9D"/>
    <w:rsid w:val="00D8773C"/>
    <w:rsid w:val="00D93082"/>
    <w:rsid w:val="00D97139"/>
    <w:rsid w:val="00DA0ABA"/>
    <w:rsid w:val="00DA28BE"/>
    <w:rsid w:val="00DB29FD"/>
    <w:rsid w:val="00DC0253"/>
    <w:rsid w:val="00DC4F70"/>
    <w:rsid w:val="00DC753D"/>
    <w:rsid w:val="00DD0CD4"/>
    <w:rsid w:val="00DF04F0"/>
    <w:rsid w:val="00E1108E"/>
    <w:rsid w:val="00E147D3"/>
    <w:rsid w:val="00E1782A"/>
    <w:rsid w:val="00E17CCF"/>
    <w:rsid w:val="00E21BC3"/>
    <w:rsid w:val="00E23A94"/>
    <w:rsid w:val="00E30BB5"/>
    <w:rsid w:val="00E31447"/>
    <w:rsid w:val="00E422A2"/>
    <w:rsid w:val="00E44018"/>
    <w:rsid w:val="00E5220B"/>
    <w:rsid w:val="00E6172B"/>
    <w:rsid w:val="00E655A5"/>
    <w:rsid w:val="00E66A55"/>
    <w:rsid w:val="00E713DA"/>
    <w:rsid w:val="00E813B7"/>
    <w:rsid w:val="00E82874"/>
    <w:rsid w:val="00E845AC"/>
    <w:rsid w:val="00E867FC"/>
    <w:rsid w:val="00E9047D"/>
    <w:rsid w:val="00EA0ACE"/>
    <w:rsid w:val="00EA1731"/>
    <w:rsid w:val="00EA26BE"/>
    <w:rsid w:val="00EA399C"/>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1DDC"/>
    <w:rsid w:val="00F233FF"/>
    <w:rsid w:val="00F27C45"/>
    <w:rsid w:val="00F33539"/>
    <w:rsid w:val="00F33C45"/>
    <w:rsid w:val="00F46873"/>
    <w:rsid w:val="00F4786D"/>
    <w:rsid w:val="00F504CC"/>
    <w:rsid w:val="00F50E8B"/>
    <w:rsid w:val="00F60220"/>
    <w:rsid w:val="00F77C8A"/>
    <w:rsid w:val="00F86AAA"/>
    <w:rsid w:val="00F9055E"/>
    <w:rsid w:val="00F91683"/>
    <w:rsid w:val="00FA00C3"/>
    <w:rsid w:val="00FA17FC"/>
    <w:rsid w:val="00FA2040"/>
    <w:rsid w:val="00FB17AC"/>
    <w:rsid w:val="00FB41D6"/>
    <w:rsid w:val="00FC5CC0"/>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3FDE"/>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aliases w:val="Fußnote,Fußnotentextf,Note de bas de page Car Car Car Car Car Car Car Car Car Car,Note de bas de page Car Car Car Car,Note de bas de page Car Car Car Car Car Car Car Car Car,ft,f"/>
    <w:basedOn w:val="Normal"/>
    <w:link w:val="FootnoteTextChar"/>
    <w:uiPriority w:val="99"/>
    <w:rsid w:val="001951FE"/>
    <w:rPr>
      <w:sz w:val="20"/>
    </w:rPr>
  </w:style>
  <w:style w:type="character" w:styleId="FootnoteReference">
    <w:name w:val="footnote reference"/>
    <w:aliases w:val="BVI fnr,(Footnote Reference),SUPERS,Footnote Reference/,Footnote symbol,Footnotes refss,Footnote Reference Superscript,Footnote,Footnote reference number,note TESI,EN Footnote Reference,Voetnootverwijzing,Times 10 Point,No,Re"/>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aliases w:val="Fußnote Char,Fußnotentextf Char,Note de bas de page Car Car Car Car Car Car Car Car Car Car Char,Note de bas de page Car Car Car Car Char,Note de bas de page Car Car Car Car Car Car Car Car Car Char,ft Char,f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link w:val="Heading4"/>
    <w:semiHidden/>
    <w:rsid w:val="004916FF"/>
    <w:rPr>
      <w:rFonts w:ascii="Calibri" w:eastAsia="Times New Roman" w:hAnsi="Calibri" w:cs="Times New Roman"/>
      <w:b/>
      <w:bCs/>
      <w:snapToGrid w:val="0"/>
      <w:sz w:val="28"/>
      <w:szCs w:val="28"/>
      <w:lang w:val="en-US" w:eastAsia="en-US"/>
    </w:rPr>
  </w:style>
  <w:style w:type="paragraph" w:customStyle="1" w:styleId="Default">
    <w:name w:val="Default"/>
    <w:rsid w:val="00E1108E"/>
    <w:pPr>
      <w:autoSpaceDE w:val="0"/>
      <w:autoSpaceDN w:val="0"/>
      <w:adjustRightInd w:val="0"/>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9D6B6-DD3E-4ABF-8599-E16526F17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4294520900</TotalTime>
  <Pages>5</Pages>
  <Words>1611</Words>
  <Characters>8912</Characters>
  <Application>Microsoft Office Word</Application>
  <DocSecurity>0</DocSecurity>
  <Lines>174</Lines>
  <Paragraphs>95</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10428</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Nikola Todorov</cp:lastModifiedBy>
  <cp:revision>4</cp:revision>
  <cp:lastPrinted>2025-09-18T06:16:00Z</cp:lastPrinted>
  <dcterms:created xsi:type="dcterms:W3CDTF">2025-02-10T09:39:00Z</dcterms:created>
  <dcterms:modified xsi:type="dcterms:W3CDTF">2025-02-10T11:22:00Z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MSIP_Label_f4cdc456-5864-460f-beda-883d23b78bbb_Enabled">
    <vt:lpwstr>true</vt:lpwstr>
  </property>
  <property fmtid="{D5CDD505-2E9C-101B-9397-08002B2CF9AE}" pid="5" name="MSIP_Label_f4cdc456-5864-460f-beda-883d23b78bbb_SetDate">
    <vt:lpwstr>2023-04-04T08:20:09Z</vt:lpwstr>
  </property>
  <property fmtid="{D5CDD505-2E9C-101B-9397-08002B2CF9AE}" pid="6" name="MSIP_Label_f4cdc456-5864-460f-beda-883d23b78bbb_Method">
    <vt:lpwstr>Privileged</vt:lpwstr>
  </property>
  <property fmtid="{D5CDD505-2E9C-101B-9397-08002B2CF9AE}" pid="7" name="MSIP_Label_f4cdc456-5864-460f-beda-883d23b78bbb_Name">
    <vt:lpwstr>Publicly Available</vt:lpwstr>
  </property>
  <property fmtid="{D5CDD505-2E9C-101B-9397-08002B2CF9AE}" pid="8" name="MSIP_Label_f4cdc456-5864-460f-beda-883d23b78bbb_SiteId">
    <vt:lpwstr>b24c8b06-522c-46fe-9080-70926f8dddb1</vt:lpwstr>
  </property>
  <property fmtid="{D5CDD505-2E9C-101B-9397-08002B2CF9AE}" pid="9" name="MSIP_Label_f4cdc456-5864-460f-beda-883d23b78bbb_ActionId">
    <vt:lpwstr>aca8553b-8ae2-4072-8e8b-b1d93aec8079</vt:lpwstr>
  </property>
  <property fmtid="{D5CDD505-2E9C-101B-9397-08002B2CF9AE}" pid="10" name="MSIP_Label_f4cdc456-5864-460f-beda-883d23b78bbb_ContentBits">
    <vt:lpwstr>0</vt:lpwstr>
  </property>
</Properties>
</file>